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082550">
        <w:rPr>
          <w:rFonts w:ascii="cmr17" w:hAnsi="cmr17"/>
          <w:noProof/>
          <w:lang w:val="en-US"/>
        </w:rPr>
        <w:t>12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0153E1">
        <w:rPr>
          <w:lang w:val="en-US"/>
        </w:rPr>
        <w:t xml:space="preserve"> </w:t>
      </w:r>
      <w:r w:rsidR="000153E1" w:rsidRPr="000153E1">
        <w:rPr>
          <w:lang w:val="en-US"/>
        </w:rPr>
        <w:t>adaptive peak shifts</w:t>
      </w:r>
      <w:r w:rsidR="000153E1">
        <w:rPr>
          <w:lang w:val="en-US"/>
        </w:rPr>
        <w:t>;</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0153E1" w:rsidP="000153E1">
      <w:pPr>
        <w:pStyle w:val="Firstparagraph"/>
        <w:rPr>
          <w:lang w:val="en-US"/>
        </w:rPr>
      </w:pPr>
      <w:r w:rsidRPr="000153E1">
        <w:rPr>
          <w:lang w:val="en-US"/>
        </w:rPr>
        <w:t>Stress-induced mutation &amp; complex adaptations</w:t>
      </w:r>
      <w:r w:rsidR="004A4DFB">
        <w:rPr>
          <w:lang w:val="en-US"/>
        </w:rPr>
        <w:br w:type="page"/>
      </w:r>
    </w:p>
    <w:p w:rsidR="00593A0A" w:rsidRDefault="00CB0B5A" w:rsidP="00CC2E91">
      <w:pPr>
        <w:pStyle w:val="Heading1"/>
        <w:jc w:val="both"/>
        <w:rPr>
          <w:lang w:val="en-US"/>
        </w:rPr>
      </w:pPr>
      <w:r>
        <w:rPr>
          <w:lang w:val="en-US"/>
        </w:rPr>
        <w:lastRenderedPageBreak/>
        <w:t>Introduction</w:t>
      </w:r>
    </w:p>
    <w:p w:rsidR="00C02FE0" w:rsidRDefault="0018262D" w:rsidP="00FE41B4">
      <w:pPr>
        <w:rPr>
          <w:lang w:val="en-US"/>
        </w:rPr>
      </w:pPr>
      <w:r>
        <w:rPr>
          <w:lang w:val="en-US"/>
        </w:rPr>
        <w:t>Stress-induced mutagenesis</w:t>
      </w:r>
      <w:r w:rsidR="00082550">
        <w:rPr>
          <w:lang w:val="en-US"/>
        </w:rPr>
        <w:t xml:space="preserve"> (SIM)</w:t>
      </w:r>
      <w:r>
        <w:rPr>
          <w:lang w:val="en-US"/>
        </w:rPr>
        <w:t xml:space="preserve">, the phenomenon in which stressed or maladapted individuals increase their mutation rate, has been demonstrated in numerous species, both prokaryote and eukaryote </w:t>
      </w:r>
      <w:r>
        <w:rPr>
          <w:lang w:val="en-US"/>
        </w:rPr>
        <w:fldChar w:fldCharType="begin" w:fldLock="1"/>
      </w:r>
      <w:r w:rsidR="00FB219C">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w:t>
      </w:r>
      <w:r w:rsidR="00082550">
        <w:rPr>
          <w:lang w:val="en-US"/>
        </w:rPr>
        <w:t xml:space="preserve">SIM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FB219C">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 xml:space="preserve">showed that </w:t>
      </w:r>
      <w:r w:rsidR="00082550">
        <w:rPr>
          <w:lang w:val="en-US"/>
        </w:rPr>
        <w:t xml:space="preserve">SIM </w:t>
      </w:r>
      <w:r>
        <w:rPr>
          <w:lang w:val="en-US"/>
        </w:rPr>
        <w:t xml:space="preserve">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FE41B4">
        <w:rPr>
          <w:lang w:val="en-US"/>
        </w:rPr>
        <w:t>In this work</w:t>
      </w:r>
      <w:r w:rsidR="00ED18BD">
        <w:rPr>
          <w:lang w:val="en-US"/>
        </w:rPr>
        <w:t xml:space="preserve">, we focus instead on the effect of </w:t>
      </w:r>
      <w:r w:rsidR="00082550">
        <w:rPr>
          <w:lang w:val="en-US"/>
        </w:rPr>
        <w:t xml:space="preserve">SIM </w:t>
      </w:r>
      <w:r w:rsidR="00ED18BD">
        <w:rPr>
          <w:lang w:val="en-US"/>
        </w:rPr>
        <w:t>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FF7440" w:rsidRDefault="002473DC" w:rsidP="00082550">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w:t>
      </w:r>
      <w:r w:rsidR="00082550">
        <w:rPr>
          <w:lang w:val="en-US"/>
        </w:rPr>
        <w:t xml:space="preserve">SIM </w:t>
      </w:r>
      <w:r>
        <w:rPr>
          <w:lang w:val="en-US"/>
        </w:rPr>
        <w:t>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xml:space="preserve">, and double mutants </w:t>
      </w:r>
      <w:r w:rsidR="000651B8" w:rsidRPr="00FE41B4">
        <w:rPr>
          <w:lang w:val="en-US"/>
        </w:rPr>
        <w:t>(</w:t>
      </w:r>
      <w:r w:rsidR="000651B8">
        <w:rPr>
          <w:i/>
          <w:iCs/>
          <w:lang w:val="en-US"/>
        </w:rPr>
        <w:t>AB</w:t>
      </w:r>
      <w:r w:rsidR="000651B8" w:rsidRPr="00FE41B4">
        <w:rPr>
          <w:lang w:val="en-US"/>
        </w:rPr>
        <w:t>)</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82550">
      <w:pPr>
        <w:ind w:firstLine="0"/>
        <w:rPr>
          <w:lang w:val="en-US"/>
        </w:rPr>
      </w:pPr>
      <w:r>
        <w:rPr>
          <w:lang w:val="en-US"/>
        </w:rPr>
        <w:t xml:space="preserve">Individuals with </w:t>
      </w:r>
      <w:r w:rsidR="00082550">
        <w:rPr>
          <w:lang w:val="en-US"/>
        </w:rPr>
        <w:t xml:space="preserve">SIM </w:t>
      </w:r>
      <w:r>
        <w:rPr>
          <w:lang w:val="en-US"/>
        </w:rPr>
        <w:t xml:space="preserve">and fitness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9F66C0">
        <w:tc>
          <w:tcPr>
            <w:tcW w:w="4500" w:type="pct"/>
            <w:vAlign w:val="center"/>
          </w:tcPr>
          <w:p w:rsidR="00C80D23" w:rsidRDefault="00C80D23" w:rsidP="009F66C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9F66C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9F66C0">
        <w:tc>
          <w:tcPr>
            <w:tcW w:w="4500" w:type="pct"/>
            <w:vAlign w:val="center"/>
          </w:tcPr>
          <w:p w:rsidR="00C80D23" w:rsidRDefault="00082550" w:rsidP="009F66C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9F66C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082550" w:rsidRDefault="00082550" w:rsidP="00930641">
      <w:pPr>
        <w:pStyle w:val="Caption"/>
        <w:keepNext/>
      </w:pPr>
      <w:bookmarkStart w:id="6" w:name="_Ref358731264"/>
    </w:p>
    <w:p w:rsidR="00930641" w:rsidRDefault="00930641" w:rsidP="00930641">
      <w:pPr>
        <w:pStyle w:val="Caption"/>
        <w:keepNext/>
      </w:pPr>
      <w:bookmarkStart w:id="7" w:name="_Ref358791100"/>
      <w:r>
        <w:t xml:space="preserve">Table </w:t>
      </w:r>
      <w:r>
        <w:fldChar w:fldCharType="begin"/>
      </w:r>
      <w:r>
        <w:instrText xml:space="preserve"> SEQ Table \* ARABIC </w:instrText>
      </w:r>
      <w:r>
        <w:fldChar w:fldCharType="separate"/>
      </w:r>
      <w:r>
        <w:rPr>
          <w:noProof/>
        </w:rPr>
        <w:t>1</w:t>
      </w:r>
      <w:r>
        <w:fldChar w:fldCharType="end"/>
      </w:r>
      <w:bookmarkEnd w:id="6"/>
      <w:bookmarkEnd w:id="7"/>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9F66C0">
        <w:tc>
          <w:tcPr>
            <w:tcW w:w="1896" w:type="dxa"/>
            <w:vAlign w:val="center"/>
          </w:tcPr>
          <w:p w:rsidR="00930641" w:rsidRDefault="00930641" w:rsidP="009F66C0">
            <w:pPr>
              <w:ind w:firstLine="0"/>
              <w:jc w:val="center"/>
              <w:rPr>
                <w:lang w:val="en-US"/>
              </w:rPr>
            </w:pPr>
            <w:r>
              <w:rPr>
                <w:lang w:val="en-US"/>
              </w:rPr>
              <w:t>Symbol</w:t>
            </w:r>
          </w:p>
        </w:tc>
        <w:tc>
          <w:tcPr>
            <w:tcW w:w="1896" w:type="dxa"/>
            <w:vAlign w:val="center"/>
          </w:tcPr>
          <w:p w:rsidR="00930641" w:rsidRDefault="00930641" w:rsidP="009F66C0">
            <w:pPr>
              <w:ind w:firstLine="0"/>
              <w:jc w:val="center"/>
              <w:rPr>
                <w:lang w:val="en-US"/>
              </w:rPr>
            </w:pPr>
            <w:r>
              <w:rPr>
                <w:lang w:val="en-US"/>
              </w:rPr>
              <w:t>Name</w:t>
            </w:r>
          </w:p>
        </w:tc>
        <w:tc>
          <w:tcPr>
            <w:tcW w:w="1897" w:type="dxa"/>
            <w:vAlign w:val="center"/>
          </w:tcPr>
          <w:p w:rsidR="00930641" w:rsidRDefault="00930641" w:rsidP="009F66C0">
            <w:pPr>
              <w:ind w:firstLine="0"/>
              <w:jc w:val="center"/>
              <w:rPr>
                <w:lang w:val="en-US"/>
              </w:rPr>
            </w:pPr>
            <w:r>
              <w:rPr>
                <w:lang w:val="en-US"/>
              </w:rPr>
              <w:t>Estimate</w:t>
            </w:r>
          </w:p>
        </w:tc>
        <w:tc>
          <w:tcPr>
            <w:tcW w:w="1897" w:type="dxa"/>
            <w:vAlign w:val="center"/>
          </w:tcPr>
          <w:p w:rsidR="00930641" w:rsidRDefault="00930641" w:rsidP="009F66C0">
            <w:pPr>
              <w:ind w:firstLine="0"/>
              <w:jc w:val="center"/>
              <w:rPr>
                <w:lang w:val="en-US"/>
              </w:rPr>
            </w:pPr>
            <w:r>
              <w:rPr>
                <w:lang w:val="en-US"/>
              </w:rPr>
              <w:t>References</w:t>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s</w:t>
            </w:r>
          </w:p>
        </w:tc>
        <w:tc>
          <w:tcPr>
            <w:tcW w:w="1896" w:type="dxa"/>
            <w:vAlign w:val="center"/>
          </w:tcPr>
          <w:p w:rsidR="00930641" w:rsidRDefault="00930641" w:rsidP="009F66C0">
            <w:pPr>
              <w:ind w:firstLine="0"/>
              <w:jc w:val="center"/>
              <w:rPr>
                <w:lang w:val="en-US"/>
              </w:rPr>
            </w:pPr>
            <w:r>
              <w:rPr>
                <w:lang w:val="en-US"/>
              </w:rPr>
              <w:t xml:space="preserve">Selection </w:t>
            </w:r>
            <w:r>
              <w:rPr>
                <w:lang w:val="en-US"/>
              </w:rPr>
              <w:lastRenderedPageBreak/>
              <w:t>coefficient</w:t>
            </w:r>
          </w:p>
        </w:tc>
        <w:tc>
          <w:tcPr>
            <w:tcW w:w="1897" w:type="dxa"/>
            <w:vAlign w:val="center"/>
          </w:tcPr>
          <w:p w:rsidR="00930641" w:rsidRDefault="00930641" w:rsidP="009F66C0">
            <w:pPr>
              <w:ind w:firstLine="0"/>
              <w:jc w:val="center"/>
              <w:rPr>
                <w:lang w:val="en-US"/>
              </w:rPr>
            </w:pPr>
            <w:r>
              <w:rPr>
                <w:lang w:val="en-US"/>
              </w:rPr>
              <w:lastRenderedPageBreak/>
              <w:t>0.001-0.03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"[7,8]" }, "properties" : { "noteIndex" : 0 }, "schema" : "https://github.com/citation-style-language/schema/raw/master/csl-citation.json" }</w:instrText>
            </w:r>
            <w:r>
              <w:rPr>
                <w:lang w:val="en-US"/>
              </w:rPr>
              <w:fldChar w:fldCharType="separate"/>
            </w:r>
            <w:r w:rsidR="009F66C0" w:rsidRPr="009F66C0">
              <w:rPr>
                <w:noProof/>
                <w:lang w:val="en-US"/>
              </w:rPr>
              <w:t>[7,8]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lastRenderedPageBreak/>
              <w:t>H</w:t>
            </w:r>
          </w:p>
        </w:tc>
        <w:tc>
          <w:tcPr>
            <w:tcW w:w="1896" w:type="dxa"/>
            <w:vAlign w:val="center"/>
          </w:tcPr>
          <w:p w:rsidR="00930641" w:rsidRDefault="00930641" w:rsidP="009F66C0">
            <w:pPr>
              <w:ind w:firstLine="0"/>
              <w:jc w:val="center"/>
              <w:rPr>
                <w:lang w:val="en-US"/>
              </w:rPr>
            </w:pPr>
            <w:r>
              <w:rPr>
                <w:lang w:val="en-US"/>
              </w:rPr>
              <w:t>Double mutant advantage</w:t>
            </w:r>
          </w:p>
        </w:tc>
        <w:tc>
          <w:tcPr>
            <w:tcW w:w="1897" w:type="dxa"/>
            <w:vAlign w:val="center"/>
          </w:tcPr>
          <w:p w:rsidR="00930641" w:rsidRDefault="00930641" w:rsidP="009F66C0">
            <w:pPr>
              <w:ind w:firstLine="0"/>
              <w:jc w:val="center"/>
              <w:rPr>
                <w:lang w:val="en-US"/>
              </w:rPr>
            </w:pPr>
            <w:r>
              <w:rPr>
                <w:lang w:val="en-US"/>
              </w:rPr>
              <w:t>1-10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i/>
                <w:iCs/>
                <w:lang w:val="en-US"/>
              </w:rPr>
              <w:t>U</w:t>
            </w:r>
          </w:p>
        </w:tc>
        <w:tc>
          <w:tcPr>
            <w:tcW w:w="1896" w:type="dxa"/>
            <w:vAlign w:val="center"/>
          </w:tcPr>
          <w:p w:rsidR="00930641" w:rsidRDefault="00930641" w:rsidP="009F66C0">
            <w:pPr>
              <w:ind w:firstLine="0"/>
              <w:jc w:val="center"/>
              <w:rPr>
                <w:lang w:val="en-US"/>
              </w:rPr>
            </w:pPr>
            <w:r>
              <w:rPr>
                <w:lang w:val="en-US"/>
              </w:rPr>
              <w:t>Genomic deleterious mutation rate</w:t>
            </w:r>
          </w:p>
        </w:tc>
        <w:tc>
          <w:tcPr>
            <w:tcW w:w="1897" w:type="dxa"/>
            <w:vAlign w:val="center"/>
          </w:tcPr>
          <w:p w:rsidR="00930641" w:rsidRDefault="00930641" w:rsidP="009F66C0">
            <w:pPr>
              <w:ind w:firstLine="0"/>
              <w:jc w:val="center"/>
              <w:rPr>
                <w:lang w:val="en-US"/>
              </w:rPr>
            </w:pPr>
            <w:r>
              <w:rPr>
                <w:lang w:val="en-US"/>
              </w:rPr>
              <w:t>0.0004-0.003</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"[9,10]" }, "properties" : { "noteIndex" : 0 }, "schema" : "https://github.com/citation-style-language/schema/raw/master/csl-citation.json" }</w:instrText>
            </w:r>
            <w:r>
              <w:rPr>
                <w:lang w:val="en-US"/>
              </w:rPr>
              <w:fldChar w:fldCharType="separate"/>
            </w:r>
            <w:r w:rsidR="009F66C0" w:rsidRPr="009F66C0">
              <w:rPr>
                <w:noProof/>
                <w:lang w:val="en-US"/>
              </w:rPr>
              <w:t>[9,10]</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9F66C0">
            <w:pPr>
              <w:ind w:firstLine="0"/>
              <w:jc w:val="center"/>
              <w:rPr>
                <w:lang w:val="en-US"/>
              </w:rPr>
            </w:pPr>
            <w:r>
              <w:rPr>
                <w:lang w:val="en-US"/>
              </w:rPr>
              <w:t>Site-specific beneficial mutation rate</w:t>
            </w:r>
          </w:p>
        </w:tc>
        <w:tc>
          <w:tcPr>
            <w:tcW w:w="1897" w:type="dxa"/>
            <w:vAlign w:val="center"/>
          </w:tcPr>
          <w:p w:rsidR="00930641" w:rsidRDefault="00930641" w:rsidP="009F66C0">
            <w:pPr>
              <w:ind w:firstLine="0"/>
              <w:jc w:val="center"/>
              <w:rPr>
                <w:lang w:val="en-US"/>
              </w:rPr>
            </w:pPr>
            <w:r>
              <w:rPr>
                <w:lang w:val="en-US"/>
              </w:rPr>
              <w:t>U/5000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"[8]" }, "properties" : { "noteIndex" : 0 }, "schema" : "https://github.com/citation-style-language/schema/raw/master/csl-citation.json" }</w:instrText>
            </w:r>
            <w:r>
              <w:rPr>
                <w:lang w:val="en-US"/>
              </w:rPr>
              <w:fldChar w:fldCharType="separate"/>
            </w:r>
            <w:r w:rsidR="009F66C0" w:rsidRPr="009F66C0">
              <w:rPr>
                <w:noProof/>
                <w:lang w:val="en-US"/>
              </w:rPr>
              <w:t>[8]</w:t>
            </w:r>
            <w:r>
              <w:rPr>
                <w:lang w:val="en-US"/>
              </w:rPr>
              <w:fldChar w:fldCharType="end"/>
            </w:r>
          </w:p>
        </w:tc>
      </w:tr>
      <w:tr w:rsidR="00930641" w:rsidTr="009F66C0">
        <w:tc>
          <w:tcPr>
            <w:tcW w:w="1896" w:type="dxa"/>
            <w:vAlign w:val="center"/>
          </w:tcPr>
          <w:p w:rsidR="00930641" w:rsidRPr="00524B4A" w:rsidRDefault="00930641" w:rsidP="009F66C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9F66C0">
            <w:pPr>
              <w:ind w:firstLine="0"/>
              <w:jc w:val="center"/>
              <w:rPr>
                <w:lang w:val="en-US"/>
              </w:rPr>
            </w:pPr>
            <w:r>
              <w:rPr>
                <w:lang w:val="en-US"/>
              </w:rPr>
              <w:t>Fold-increase in mutation rate</w:t>
            </w:r>
          </w:p>
        </w:tc>
        <w:tc>
          <w:tcPr>
            <w:tcW w:w="1897" w:type="dxa"/>
            <w:vAlign w:val="center"/>
          </w:tcPr>
          <w:p w:rsidR="00930641" w:rsidRDefault="00930641" w:rsidP="009F66C0">
            <w:pPr>
              <w:ind w:firstLine="0"/>
              <w:jc w:val="center"/>
              <w:rPr>
                <w:lang w:val="en-US"/>
              </w:rPr>
            </w:pPr>
            <w:r>
              <w:rPr>
                <w:lang w:val="en-US"/>
              </w:rPr>
              <w:t>1-100</w:t>
            </w:r>
          </w:p>
        </w:tc>
        <w:tc>
          <w:tcPr>
            <w:tcW w:w="1897" w:type="dxa"/>
            <w:vAlign w:val="center"/>
          </w:tcPr>
          <w:p w:rsidR="00930641" w:rsidRDefault="00930641" w:rsidP="009F66C0">
            <w:pPr>
              <w:ind w:firstLine="0"/>
              <w:jc w:val="center"/>
              <w:rPr>
                <w:lang w:val="en-US"/>
              </w:rPr>
            </w:pPr>
            <w:r>
              <w:rPr>
                <w:lang w:val="en-US"/>
              </w:rPr>
              <w:fldChar w:fldCharType="begin" w:fldLock="1"/>
            </w:r>
            <w:r w:rsidR="00FB219C">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"[11,12]" }, "properties" : { "noteIndex" : 0 }, "schema" : "https://github.com/citation-style-language/schema/raw/master/csl-citation.json" }</w:instrText>
            </w:r>
            <w:r>
              <w:rPr>
                <w:lang w:val="en-US"/>
              </w:rPr>
              <w:fldChar w:fldCharType="separate"/>
            </w:r>
            <w:r w:rsidR="009F66C0" w:rsidRPr="009F66C0">
              <w:rPr>
                <w:noProof/>
                <w:lang w:val="en-US"/>
              </w:rPr>
              <w:t>[11,12]</w:t>
            </w:r>
            <w:r>
              <w:rPr>
                <w:lang w:val="en-US"/>
              </w:rPr>
              <w:fldChar w:fldCharType="end"/>
            </w:r>
          </w:p>
        </w:tc>
      </w:tr>
      <w:tr w:rsidR="00930641" w:rsidTr="009F66C0">
        <w:tc>
          <w:tcPr>
            <w:tcW w:w="1896" w:type="dxa"/>
            <w:vAlign w:val="center"/>
          </w:tcPr>
          <w:p w:rsidR="00930641" w:rsidRPr="00524B4A" w:rsidRDefault="00930641" w:rsidP="009F66C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9F66C0">
            <w:pPr>
              <w:ind w:firstLine="0"/>
              <w:jc w:val="center"/>
              <w:rPr>
                <w:lang w:val="en-US"/>
              </w:rPr>
            </w:pPr>
            <w:r>
              <w:rPr>
                <w:lang w:val="en-US"/>
              </w:rPr>
              <w:t>Population size</w:t>
            </w:r>
          </w:p>
        </w:tc>
        <w:tc>
          <w:tcPr>
            <w:tcW w:w="1897" w:type="dxa"/>
            <w:vAlign w:val="center"/>
          </w:tcPr>
          <w:p w:rsidR="00930641" w:rsidRPr="000E4EA4" w:rsidRDefault="00930641" w:rsidP="009F66C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9F66C0">
            <w:pPr>
              <w:ind w:firstLine="0"/>
              <w:jc w:val="center"/>
              <w:rPr>
                <w:lang w:val="en-US"/>
              </w:rPr>
            </w:pPr>
          </w:p>
        </w:tc>
      </w:tr>
    </w:tbl>
    <w:p w:rsidR="00930641" w:rsidRDefault="00930641" w:rsidP="005A4D58">
      <w:pPr>
        <w:ind w:firstLine="0"/>
        <w:rPr>
          <w:lang w:val="en-US"/>
        </w:rPr>
      </w:pPr>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xml:space="preserve">, but the constraint can also be met for other combinations of the parameter values. We assume both of these constraints hold </w:t>
      </w:r>
      <w:proofErr w:type="spellStart"/>
      <w:r w:rsidR="005A4D58">
        <w:rPr>
          <w:lang w:val="en-US"/>
        </w:rPr>
        <w:t>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082550" w:rsidRDefault="00082550" w:rsidP="00EA4ACF">
      <w:pPr>
        <w:ind w:firstLine="0"/>
      </w:pPr>
    </w:p>
    <w:p w:rsidR="00296230" w:rsidRDefault="00FF49B1" w:rsidP="000A51D7">
      <w:pPr>
        <w:keepNext/>
        <w:jc w:val="center"/>
      </w:pPr>
      <w:r>
        <w:rPr>
          <w:noProof/>
          <w:lang w:val="en-US" w:bidi="he-IL"/>
        </w:rPr>
        <w:lastRenderedPageBreak/>
        <w:drawing>
          <wp:inline distT="0" distB="0" distL="0" distR="0">
            <wp:extent cx="4667250" cy="4228465"/>
            <wp:effectExtent l="0" t="0" r="0" b="635"/>
            <wp:docPr id="2" name="Picture 2"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7250" cy="4228465"/>
                    </a:xfrm>
                    <a:prstGeom prst="rect">
                      <a:avLst/>
                    </a:prstGeom>
                    <a:noFill/>
                    <a:ln>
                      <a:noFill/>
                    </a:ln>
                  </pic:spPr>
                </pic:pic>
              </a:graphicData>
            </a:graphic>
          </wp:inline>
        </w:drawing>
      </w:r>
    </w:p>
    <w:p w:rsidR="00317C1F" w:rsidRPr="00317C1F" w:rsidRDefault="00317C1F" w:rsidP="00E254C5">
      <w:pPr>
        <w:pStyle w:val="Caption"/>
        <w:jc w:val="center"/>
        <w:rPr>
          <w:b w:val="0"/>
          <w:bCs w:val="0"/>
        </w:rPr>
      </w:pPr>
      <w:bookmarkStart w:id="8"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8"/>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FF49B1">
        <w:rPr>
          <w:b w:val="0"/>
          <w:bCs w:val="0"/>
        </w:rPr>
        <w:t xml:space="preserve">Nodes represent genotypes: the alleles </w:t>
      </w:r>
      <w:proofErr w:type="gramStart"/>
      <w:r w:rsidR="00FF49B1">
        <w:rPr>
          <w:b w:val="0"/>
          <w:bCs w:val="0"/>
          <w:i/>
          <w:iCs/>
        </w:rPr>
        <w:t>a</w:t>
      </w:r>
      <w:r w:rsidR="00FF49B1">
        <w:rPr>
          <w:b w:val="0"/>
          <w:bCs w:val="0"/>
        </w:rPr>
        <w:t xml:space="preserve"> or</w:t>
      </w:r>
      <w:proofErr w:type="gramEnd"/>
      <w:r w:rsidR="00FF49B1">
        <w:rPr>
          <w:b w:val="0"/>
          <w:bCs w:val="0"/>
        </w:rPr>
        <w:t xml:space="preserve"> </w:t>
      </w:r>
      <w:r w:rsidR="00FF49B1">
        <w:rPr>
          <w:b w:val="0"/>
          <w:bCs w:val="0"/>
          <w:i/>
          <w:iCs/>
        </w:rPr>
        <w:t>A</w:t>
      </w:r>
      <w:r w:rsidR="00FF49B1">
        <w:rPr>
          <w:b w:val="0"/>
          <w:bCs w:val="0"/>
        </w:rPr>
        <w:t xml:space="preserve"> and </w:t>
      </w:r>
      <w:r w:rsidR="00FF49B1">
        <w:rPr>
          <w:b w:val="0"/>
          <w:bCs w:val="0"/>
          <w:i/>
          <w:iCs/>
        </w:rPr>
        <w:t>b</w:t>
      </w:r>
      <w:r w:rsidR="00FF49B1">
        <w:rPr>
          <w:b w:val="0"/>
          <w:bCs w:val="0"/>
        </w:rPr>
        <w:t xml:space="preserve"> or </w:t>
      </w:r>
      <w:r w:rsidR="00FF49B1">
        <w:rPr>
          <w:b w:val="0"/>
          <w:bCs w:val="0"/>
          <w:i/>
          <w:iCs/>
        </w:rPr>
        <w:t>B</w:t>
      </w:r>
      <w:r w:rsidR="00FF49B1">
        <w:rPr>
          <w:b w:val="0"/>
          <w:bCs w:val="0"/>
        </w:rPr>
        <w:t xml:space="preserve">, and in panel b also the number of deleterious alleles across the genome. Mutagenesis is induced in stressed genotypes, indicated by ellipses, while adapted genotypes do not hypermutate. Solid arrows represent site-specific mutations at the </w:t>
      </w:r>
      <w:r w:rsidR="00FF49B1">
        <w:rPr>
          <w:b w:val="0"/>
          <w:bCs w:val="0"/>
          <w:i/>
          <w:iCs/>
        </w:rPr>
        <w:t>a/</w:t>
      </w:r>
      <w:r w:rsidR="00FF49B1" w:rsidRPr="00FF49B1">
        <w:rPr>
          <w:b w:val="0"/>
          <w:bCs w:val="0"/>
        </w:rPr>
        <w:t>A</w:t>
      </w:r>
      <w:r w:rsidR="00FF49B1">
        <w:rPr>
          <w:b w:val="0"/>
          <w:bCs w:val="0"/>
        </w:rPr>
        <w:t xml:space="preserve"> and </w:t>
      </w:r>
      <w:r w:rsidR="00FF49B1">
        <w:rPr>
          <w:b w:val="0"/>
          <w:bCs w:val="0"/>
          <w:i/>
          <w:iCs/>
        </w:rPr>
        <w:t xml:space="preserve">b/B </w:t>
      </w:r>
      <w:r w:rsidR="00FF49B1">
        <w:rPr>
          <w:b w:val="0"/>
          <w:bCs w:val="0"/>
        </w:rPr>
        <w:t xml:space="preserve">loci, which occur </w:t>
      </w:r>
      <w:r w:rsidR="00FF49B1" w:rsidRPr="00FF49B1">
        <w:rPr>
          <w:b w:val="0"/>
          <w:bCs w:val="0"/>
        </w:rPr>
        <w:t>with</w:t>
      </w:r>
      <w:r w:rsidR="00FF49B1">
        <w:rPr>
          <w:b w:val="0"/>
          <w:bCs w:val="0"/>
        </w:rPr>
        <w:t xml:space="preserve"> probability </w:t>
      </w:r>
      <w:r w:rsidR="00FF49B1" w:rsidRPr="00FE41B4">
        <w:rPr>
          <w:rFonts w:ascii="Times New Roman" w:hAnsi="Times New Roman"/>
          <w:b w:val="0"/>
          <w:bCs w:val="0"/>
          <w:i/>
          <w:iCs/>
        </w:rPr>
        <w:t>µ</w:t>
      </w:r>
      <w:r w:rsidR="00FF49B1">
        <w:rPr>
          <w:b w:val="0"/>
          <w:bCs w:val="0"/>
        </w:rPr>
        <w:t xml:space="preserve">. Dashed arrows represent deleterious mutations across the </w:t>
      </w:r>
      <w:proofErr w:type="gramStart"/>
      <w:r w:rsidR="00FF49B1">
        <w:rPr>
          <w:b w:val="0"/>
          <w:bCs w:val="0"/>
        </w:rPr>
        <w:t>genome which are</w:t>
      </w:r>
      <w:proofErr w:type="gramEnd"/>
      <w:r w:rsidR="00FF49B1">
        <w:rPr>
          <w:b w:val="0"/>
          <w:bCs w:val="0"/>
        </w:rPr>
        <w:t xml:space="preserve"> Poisson distributed with an average </w:t>
      </w:r>
      <w:r w:rsidR="00FF49B1">
        <w:rPr>
          <w:b w:val="0"/>
          <w:bCs w:val="0"/>
          <w:i/>
          <w:iCs/>
        </w:rPr>
        <w:t>U</w:t>
      </w:r>
      <w:r w:rsidR="00FF49B1">
        <w:rPr>
          <w:b w:val="0"/>
          <w:bCs w:val="0"/>
        </w:rPr>
        <w:t xml:space="preserve">. </w:t>
      </w:r>
      <w:r w:rsidR="008D4A68">
        <w:rPr>
          <w:b w:val="0"/>
          <w:bCs w:val="0"/>
        </w:rPr>
        <w:t xml:space="preserve">Node colour represents fitness (see </w:t>
      </w:r>
      <w:proofErr w:type="spellStart"/>
      <w:r w:rsidR="008D4A68">
        <w:rPr>
          <w:b w:val="0"/>
          <w:bCs w:val="0"/>
        </w:rPr>
        <w:t>colourbar</w:t>
      </w:r>
      <w:proofErr w:type="spellEnd"/>
      <w:r w:rsidR="008D4A68">
        <w:rPr>
          <w:b w:val="0"/>
          <w:bCs w:val="0"/>
        </w:rPr>
        <w:t>), from pale brown for the fittest genotype (</w:t>
      </w:r>
      <w:r w:rsidR="008D4A68">
        <w:rPr>
          <w:b w:val="0"/>
          <w:bCs w:val="0"/>
          <w:i/>
          <w:iCs/>
        </w:rPr>
        <w:t>1+sH</w:t>
      </w:r>
      <w:r w:rsidR="008D4A68" w:rsidRPr="008D4A68">
        <w:rPr>
          <w:b w:val="0"/>
          <w:bCs w:val="0"/>
        </w:rPr>
        <w:t>, where</w:t>
      </w:r>
      <w:r w:rsidR="008D4A68">
        <w:rPr>
          <w:b w:val="0"/>
          <w:bCs w:val="0"/>
        </w:rPr>
        <w:t xml:space="preserve"> </w:t>
      </w:r>
      <w:r w:rsidR="008D4A68">
        <w:rPr>
          <w:b w:val="0"/>
          <w:bCs w:val="0"/>
          <w:i/>
          <w:iCs/>
        </w:rPr>
        <w:t>s</w:t>
      </w:r>
      <w:r w:rsidR="008D4A68">
        <w:rPr>
          <w:b w:val="0"/>
          <w:bCs w:val="0"/>
        </w:rPr>
        <w:t xml:space="preserve">=0.05 is the selection coefficient and </w:t>
      </w:r>
      <w:r w:rsidR="008D4A68">
        <w:rPr>
          <w:b w:val="0"/>
          <w:bCs w:val="0"/>
          <w:i/>
          <w:iCs/>
        </w:rPr>
        <w:t>H</w:t>
      </w:r>
      <w:r w:rsidR="008D4A68">
        <w:rPr>
          <w:b w:val="0"/>
          <w:bCs w:val="0"/>
        </w:rPr>
        <w:t xml:space="preserve">=2 is the double mutant advantage) to dark brown for genotypes </w:t>
      </w:r>
      <w:proofErr w:type="spellStart"/>
      <w:r w:rsidR="008D4A68">
        <w:rPr>
          <w:b w:val="0"/>
          <w:bCs w:val="0"/>
        </w:rPr>
        <w:t>ith</w:t>
      </w:r>
      <w:proofErr w:type="spellEnd"/>
      <w:r w:rsidR="008D4A68">
        <w:rPr>
          <w:b w:val="0"/>
          <w:bCs w:val="0"/>
        </w:rPr>
        <w:t xml:space="preserve"> deleterious alleles (</w:t>
      </w:r>
      <w:r w:rsidR="008D4A68">
        <w:rPr>
          <w:b w:val="0"/>
          <w:bCs w:val="0"/>
          <w:i/>
          <w:iCs/>
        </w:rPr>
        <w:t>(1-s)</w:t>
      </w:r>
      <w:r w:rsidR="008D4A68">
        <w:rPr>
          <w:b w:val="0"/>
          <w:bCs w:val="0"/>
          <w:i/>
          <w:iCs/>
          <w:vertAlign w:val="superscript"/>
        </w:rPr>
        <w:t>m</w:t>
      </w:r>
      <w:r w:rsidR="008D4A68">
        <w:rPr>
          <w:b w:val="0"/>
          <w:bCs w:val="0"/>
        </w:rPr>
        <w:t xml:space="preserve">, where </w:t>
      </w:r>
      <w:r w:rsidR="008D4A68">
        <w:rPr>
          <w:b w:val="0"/>
          <w:bCs w:val="0"/>
          <w:i/>
          <w:iCs/>
        </w:rPr>
        <w:t>m</w:t>
      </w:r>
      <w:r w:rsidR="008D4A68">
        <w:rPr>
          <w:b w:val="0"/>
          <w:bCs w:val="0"/>
        </w:rPr>
        <w:t xml:space="preserve"> is the number of deleterious alleles). </w:t>
      </w:r>
      <w:r w:rsidR="008D4A68">
        <w:t>(a)</w:t>
      </w:r>
      <w:r w:rsidR="00E254C5">
        <w:rPr>
          <w:b w:val="0"/>
          <w:bCs w:val="0"/>
        </w:rPr>
        <w:t xml:space="preserve"> I</w:t>
      </w:r>
      <w:r w:rsidR="008D4A68">
        <w:rPr>
          <w:b w:val="0"/>
          <w:bCs w:val="0"/>
        </w:rPr>
        <w:t>n the analytical model genotypes with deleterious alleles are considered "evolutionary dead-ends" (</w:t>
      </w:r>
      <w:r w:rsidR="008D4A68">
        <w:rPr>
          <w:b w:val="0"/>
          <w:bCs w:val="0"/>
          <w:i/>
          <w:iCs/>
        </w:rPr>
        <w:t>RIP</w:t>
      </w:r>
      <w:r w:rsidR="008D4A68">
        <w:rPr>
          <w:b w:val="0"/>
          <w:bCs w:val="0"/>
        </w:rPr>
        <w:t xml:space="preserve">) and do not contribute to adaptation. </w:t>
      </w:r>
      <w:r w:rsidR="008D4A68">
        <w:t>(b)</w:t>
      </w:r>
      <w:r w:rsidR="008D4A68">
        <w:rPr>
          <w:i/>
          <w:iCs/>
        </w:rPr>
        <w:t xml:space="preserve"> </w:t>
      </w:r>
      <w:r w:rsidR="00E254C5">
        <w:rPr>
          <w:b w:val="0"/>
          <w:bCs w:val="0"/>
        </w:rPr>
        <w:t>I</w:t>
      </w:r>
      <w:bookmarkStart w:id="9" w:name="_GoBack"/>
      <w:bookmarkEnd w:id="9"/>
      <w:r w:rsidR="008D4A68">
        <w:rPr>
          <w:b w:val="0"/>
          <w:bCs w:val="0"/>
        </w:rPr>
        <w:t>n the stochastic model individuals can accumulate up to 25 deleterious mutations (the figure only shows as much as three). Multiple mutations can occur concurrently but are not shown for simplicity of the illustration.</w:t>
      </w:r>
    </w:p>
    <w:p w:rsidR="00524B4A" w:rsidRDefault="00524B4A" w:rsidP="000E4EA4">
      <w:pPr>
        <w:ind w:firstLine="0"/>
        <w:rPr>
          <w:lang w:val="en-US"/>
        </w:rPr>
      </w:pPr>
    </w:p>
    <w:p w:rsidR="000F696F" w:rsidRDefault="00CC2E91" w:rsidP="00FA730F">
      <w:pPr>
        <w:pStyle w:val="Heading2"/>
        <w:rPr>
          <w:lang w:val="en-US"/>
        </w:rPr>
      </w:pPr>
      <w:bookmarkStart w:id="10" w:name="_Ref354490800"/>
      <w:r>
        <w:rPr>
          <w:lang w:val="en-US"/>
        </w:rPr>
        <w:t xml:space="preserve">Stochastic </w:t>
      </w:r>
      <w:bookmarkEnd w:id="10"/>
      <w:r w:rsidR="00FA730F">
        <w:rPr>
          <w:lang w:val="en-US"/>
        </w:rPr>
        <w:t>model</w:t>
      </w:r>
    </w:p>
    <w:p w:rsidR="00374508" w:rsidRDefault="00E72C13" w:rsidP="00FE41B4">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lastRenderedPageBreak/>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FE41B4">
        <w:rPr>
          <w:lang w:val="en-US"/>
        </w:rPr>
        <w:t xml:space="preserve"> and are allowed to evolve to a</w:t>
      </w:r>
      <w:r w:rsidR="00374508">
        <w:rPr>
          <w:lang w:val="en-US"/>
        </w:rPr>
        <w:t xml:space="preserve"> MSB</w:t>
      </w:r>
      <w:r w:rsidR="00FE41B4">
        <w:rPr>
          <w:lang w:val="en-US"/>
        </w:rPr>
        <w:t xml:space="preserve"> before </w:t>
      </w:r>
      <w:r w:rsidR="0045619C">
        <w:rPr>
          <w:lang w:val="en-US"/>
        </w:rPr>
        <w:t xml:space="preserve">the environment is changed so that </w:t>
      </w:r>
      <w:r w:rsidR="0045619C" w:rsidRPr="0045619C">
        <w:rPr>
          <w:i/>
          <w:iCs/>
          <w:lang w:val="en-US"/>
        </w:rPr>
        <w:t>AB</w:t>
      </w:r>
      <w:r w:rsidR="0045619C">
        <w:rPr>
          <w:lang w:val="en-US"/>
        </w:rPr>
        <w:t xml:space="preserve"> is advantageous</w:t>
      </w:r>
    </w:p>
    <w:p w:rsidR="00F70828" w:rsidRDefault="00F70828" w:rsidP="00F70828">
      <w:pPr>
        <w:pStyle w:val="Heading1"/>
        <w:rPr>
          <w:lang w:val="en-US"/>
        </w:rPr>
      </w:pPr>
      <w:bookmarkStart w:id="11" w:name="_Ref358733625"/>
      <w:r>
        <w:rPr>
          <w:lang w:val="en-US"/>
        </w:rPr>
        <w:t>Results</w:t>
      </w:r>
      <w:bookmarkEnd w:id="11"/>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and 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082550">
      <w:pPr>
        <w:pStyle w:val="Firstparagraph"/>
        <w:rPr>
          <w:lang w:val="en-US"/>
        </w:rPr>
      </w:pPr>
      <w:bookmarkStart w:id="12"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r w:rsidR="00082550">
        <w:rPr>
          <w:lang w:val="en-US"/>
        </w:rPr>
        <w:t xml:space="preserve"> (model parameters are summarized in </w:t>
      </w:r>
      <w:r w:rsidR="00082550">
        <w:rPr>
          <w:lang w:val="en-US"/>
        </w:rPr>
        <w:fldChar w:fldCharType="begin"/>
      </w:r>
      <w:r w:rsidR="00082550">
        <w:rPr>
          <w:lang w:val="en-US"/>
        </w:rPr>
        <w:instrText xml:space="preserve"> REF _Ref358791100 \h </w:instrText>
      </w:r>
      <w:r w:rsidR="00082550">
        <w:rPr>
          <w:lang w:val="en-US"/>
        </w:rPr>
      </w:r>
      <w:r w:rsidR="00082550">
        <w:rPr>
          <w:lang w:val="en-US"/>
        </w:rPr>
        <w:fldChar w:fldCharType="separate"/>
      </w:r>
      <w:r w:rsidR="00082550">
        <w:t xml:space="preserve">Table </w:t>
      </w:r>
      <w:r w:rsidR="00082550">
        <w:rPr>
          <w:noProof/>
        </w:rPr>
        <w:t>1</w:t>
      </w:r>
      <w:r w:rsidR="00082550">
        <w:rPr>
          <w:lang w:val="en-US"/>
        </w:rPr>
        <w:fldChar w:fldCharType="end"/>
      </w:r>
      <w:r w:rsidR="00082550">
        <w:rPr>
          <w:lang w:val="en-US"/>
        </w:rPr>
        <w:t>)</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082550">
      <w:pPr>
        <w:ind w:firstLine="0"/>
        <w:rPr>
          <w:lang w:val="en-US"/>
        </w:rPr>
      </w:pPr>
      <w:r>
        <w:rPr>
          <w:lang w:val="en-US"/>
        </w:rPr>
        <w:t xml:space="preserve">Deriving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oMath>
      <w:r>
        <w:rPr>
          <w:lang w:val="en-US"/>
        </w:rPr>
        <w:t xml:space="preserve"> with respect to </w:t>
      </w:r>
      <w:r w:rsidRPr="00082550">
        <w:rPr>
          <w:rFonts w:ascii="Times New Roman" w:hAnsi="Times New Roman"/>
          <w:i/>
          <w:iCs/>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082550">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"suppress-author" : 1,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A</w:t>
      </w:r>
      <w:r w:rsidRPr="008B49E2">
        <w:rPr>
          <w:lang w:val="en-US"/>
        </w:rPr>
        <w:t xml:space="preserve">ssuming that fitness is measured by the number of progeny </w:t>
      </w:r>
      <w:r w:rsidR="00082550">
        <w:rPr>
          <w:lang w:val="en-US"/>
        </w:rPr>
        <w:t xml:space="preserve">and </w:t>
      </w:r>
      <w:r w:rsidRPr="008B49E2">
        <w:rPr>
          <w:lang w:val="en-US"/>
        </w:rPr>
        <w:t>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FB219C">
        <w:rPr>
          <w:lang w:val="en-US"/>
        </w:rPr>
        <w:instrText>ADDIN CSL_CITATION { "citationItems" : [ { "id" : "ITEM-1", "itemData" : { "DOI" : "10.1007/BF00276922",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"8" ] ] }, "page" : "355-362", "title" : "On the survival probability of a slightly advantageous mutant gene with a general distribution of progeny size - a branching process model", "type" : "article-journal", "volume" : "12" }, "uris" : [ "http://www.mendeley.com/documents/?uuid=935a0a5d-5ac9-4e39-9957-d23904f30ab8" ] } ], "mendeley" : { "previouslyFormattedCitation" : "[13]" }, "properties" : { "noteIndex" : 0 }, "schema" : "https://github.com/citation-style-language/schema/raw/master/csl-citation.json" }</w:instrText>
      </w:r>
      <w:r>
        <w:rPr>
          <w:lang w:val="en-US"/>
        </w:rPr>
        <w:fldChar w:fldCharType="separate"/>
      </w:r>
      <w:r w:rsidR="009F66C0" w:rsidRPr="009F66C0">
        <w:rPr>
          <w:noProof/>
          <w:lang w:val="en-US"/>
        </w:rPr>
        <w:t>[13]</w:t>
      </w:r>
      <w:r>
        <w:rPr>
          <w:lang w:val="en-US"/>
        </w:rPr>
        <w:fldChar w:fldCharType="end"/>
      </w:r>
      <w:r>
        <w:rPr>
          <w:lang w:val="en-US"/>
        </w:rPr>
        <w:t xml:space="preserve">. </w:t>
      </w:r>
    </w:p>
    <w:p w:rsidR="002603F6" w:rsidRDefault="002603F6" w:rsidP="00082550">
      <w:pPr>
        <w:ind w:firstLine="0"/>
        <w:rPr>
          <w:lang w:val="en-US"/>
        </w:rPr>
      </w:pPr>
      <w:r>
        <w:rPr>
          <w:lang w:val="en-US"/>
        </w:rPr>
        <w:t xml:space="preserve">Because </w:t>
      </w:r>
      <w:r w:rsidR="00082550">
        <w:rPr>
          <w:lang w:val="en-US"/>
        </w:rPr>
        <w:t xml:space="preserve">SIM </w:t>
      </w:r>
      <w:r>
        <w:rPr>
          <w:lang w:val="en-US"/>
        </w:rPr>
        <w:t xml:space="preserve">can have an effect on the population mean fitness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the fixation probability with </w:t>
      </w:r>
      <w:r w:rsidR="00082550">
        <w:rPr>
          <w:lang w:val="en-US"/>
        </w:rPr>
        <w:t xml:space="preserve">SIM </w:t>
      </w:r>
      <w:r>
        <w:rPr>
          <w:lang w:val="en-US"/>
        </w:rPr>
        <w:t>is:</w:t>
      </w:r>
    </w:p>
    <w:p w:rsidR="006F147D" w:rsidRDefault="00082550" w:rsidP="00082550">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082550">
      <w:pPr>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w:t>
      </w:r>
      <w:r w:rsidR="00082550">
        <w:rPr>
          <w:lang w:val="en-US"/>
        </w:rPr>
        <w:t xml:space="preserve"> </w:t>
      </w:r>
      <w:r w:rsidR="00082550">
        <w:rPr>
          <w:i/>
          <w:iCs/>
          <w:lang w:val="en-US"/>
        </w:rPr>
        <w:t>s</w:t>
      </w:r>
      <w:r w:rsidR="00082550" w:rsidRPr="00082550">
        <w:rPr>
          <w:rFonts w:asciiTheme="majorBidi" w:hAnsiTheme="majorBidi" w:cstheme="majorBidi"/>
          <w:i/>
          <w:iCs/>
          <w:lang w:val="en-US"/>
        </w:rPr>
        <w:t>&lt;</w:t>
      </w:r>
      <w:r w:rsidR="00082550">
        <w:rPr>
          <w:i/>
          <w:iCs/>
          <w:lang w:val="en-US"/>
        </w:rPr>
        <w:t>1</w:t>
      </w:r>
      <w:r>
        <w:rPr>
          <w:lang w:val="en-US"/>
        </w:rPr>
        <w:t xml:space="preserve"> and </w:t>
      </w:r>
      <w:r w:rsidR="00082550">
        <w:rPr>
          <w:rFonts w:ascii="Times New Roman" w:hAnsi="Times New Roman"/>
          <w:lang w:val="en-US"/>
        </w:rPr>
        <w:t>τ</w:t>
      </w:r>
      <w:r w:rsidR="00082550" w:rsidRPr="00082550">
        <w:rPr>
          <w:rFonts w:asciiTheme="majorBidi" w:hAnsiTheme="majorBidi" w:cstheme="majorBidi"/>
          <w:i/>
          <w:iCs/>
          <w:lang w:val="en-US"/>
        </w:rPr>
        <w:t>&lt;</w:t>
      </w:r>
      <w:r w:rsidR="00082550">
        <w:rPr>
          <w:lang w:val="en-US"/>
        </w:rPr>
        <w:t>1</w:t>
      </w:r>
      <w:r>
        <w:rPr>
          <w:lang w:val="en-US"/>
        </w:rPr>
        <w:t xml:space="preserve">, 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sidR="00082550">
        <w:rPr>
          <w:lang w:val="en-US"/>
        </w:rPr>
        <w:t xml:space="preserve"> and that</w:t>
      </w:r>
      <w:r>
        <w:rPr>
          <w:lang w:val="en-US"/>
        </w:rPr>
        <w:t xml:space="preserve"> </w:t>
      </w:r>
      <w:r w:rsidR="00082550">
        <w:rPr>
          <w:lang w:val="en-US"/>
        </w:rPr>
        <w:t xml:space="preserve">SIM </w:t>
      </w:r>
      <w:r>
        <w:rPr>
          <w:lang w:val="en-US"/>
        </w:rPr>
        <w:t xml:space="preserve">increases the fixation probability of the double mutant. This is because maladapted individuals accumulate more deleterious mutations then adapted individuals, producing a wider fitness distribution and higher relative fitness for 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FE41B4">
      <w:pPr>
        <w:pStyle w:val="Heading2"/>
        <w:rPr>
          <w:lang w:val="en-US"/>
        </w:rPr>
      </w:pPr>
      <w:r>
        <w:rPr>
          <w:lang w:val="en-US"/>
        </w:rPr>
        <w:t xml:space="preserve">Adaptation </w:t>
      </w:r>
      <w:r w:rsidR="00FE41B4">
        <w:rPr>
          <w:lang w:val="en-US"/>
        </w:rPr>
        <w:t>time</w:t>
      </w:r>
    </w:p>
    <w:p w:rsidR="00631A51" w:rsidRDefault="00D65E6B" w:rsidP="00E11936">
      <w:pPr>
        <w:ind w:firstLine="0"/>
        <w:rPr>
          <w:lang w:val="en-US"/>
        </w:rPr>
      </w:pPr>
      <w:r>
        <w:rPr>
          <w:lang w:val="en-US"/>
        </w:rPr>
        <w:t>The adaptation time can be approximated by the number of generation</w:t>
      </w:r>
      <w:r w:rsidR="00E11936">
        <w:rPr>
          <w:lang w:val="en-US"/>
        </w:rPr>
        <w:t>s</w:t>
      </w:r>
      <w:r>
        <w:rPr>
          <w:lang w:val="en-US"/>
        </w:rPr>
        <w:t xml:space="preserve"> </w:t>
      </w:r>
      <w:r w:rsidR="00E11936">
        <w:rPr>
          <w:lang w:val="en-US"/>
        </w:rPr>
        <w:t xml:space="preserve">before the </w:t>
      </w:r>
      <w:r>
        <w:rPr>
          <w:lang w:val="en-US"/>
        </w:rPr>
        <w:t xml:space="preserve">appearance of a double mutant </w:t>
      </w:r>
      <w:r>
        <w:rPr>
          <w:i/>
          <w:iCs/>
          <w:lang w:val="en-US"/>
        </w:rPr>
        <w:t xml:space="preserve">AB </w:t>
      </w:r>
      <w:r>
        <w:rPr>
          <w:lang w:val="en-US"/>
        </w:rPr>
        <w:t xml:space="preserve">that </w:t>
      </w:r>
      <w:r w:rsidR="00E11936">
        <w:rPr>
          <w:lang w:val="en-US"/>
        </w:rPr>
        <w:t xml:space="preserve">goes to </w:t>
      </w:r>
      <w:r>
        <w:rPr>
          <w:lang w:val="en-US"/>
        </w:rPr>
        <w:t xml:space="preserve">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 xml:space="preserve">shown in the previous sections. The expected adaptation time without and with </w:t>
      </w:r>
      <w:r w:rsidR="00E11936">
        <w:rPr>
          <w:lang w:val="en-US"/>
        </w:rPr>
        <w:t>SIM</w:t>
      </w:r>
      <w:r w:rsidR="00631A51">
        <w:rPr>
          <w:lang w:val="en-US"/>
        </w:rPr>
        <w:t xml:space="preserve">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082550" w:rsidP="00E11936">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E11936">
      <w:pPr>
        <w:pStyle w:val="Firstparagraph"/>
        <w:rPr>
          <w:lang w:val="en-US"/>
        </w:rPr>
      </w:pPr>
      <w:r>
        <w:rPr>
          <w:lang w:val="en-US"/>
        </w:rPr>
        <w:t xml:space="preserve">We compared these expressions to find an approximate sufficient condition for </w:t>
      </w:r>
      <w:r w:rsidR="00E11936">
        <w:rPr>
          <w:lang w:val="en-US"/>
        </w:rPr>
        <w:t xml:space="preserve">SIM </w:t>
      </w:r>
      <w:r>
        <w:rPr>
          <w:lang w:val="en-US"/>
        </w:rPr>
        <w:t>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E11936">
      <w:pPr>
        <w:pStyle w:val="Firstparagraph"/>
        <w:rPr>
          <w:lang w:val="en-US"/>
        </w:rPr>
      </w:pPr>
      <w:r>
        <w:rPr>
          <w:lang w:val="en-US"/>
        </w:rPr>
        <w:t xml:space="preserve">That is, the mutation rate of maladapted individuals must be larger than that of well-adapted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higher than the values of </w:t>
      </w:r>
      <w:r w:rsidRPr="008C5BF9">
        <w:rPr>
          <w:rFonts w:ascii="Times New Roman" w:hAnsi="Times New Roman"/>
          <w:i/>
          <w:iCs/>
          <w:lang w:val="en-US"/>
        </w:rPr>
        <w:t>τ</w:t>
      </w:r>
      <w:r>
        <w:rPr>
          <w:lang w:val="en-US"/>
        </w:rPr>
        <w:t xml:space="preserve"> </w:t>
      </w:r>
      <w:r w:rsidR="00E11936">
        <w:rPr>
          <w:lang w:val="en-US"/>
        </w:rPr>
        <w:t xml:space="preserve">found </w:t>
      </w:r>
      <w:r>
        <w:rPr>
          <w:lang w:val="en-US"/>
        </w:rPr>
        <w:t>in the literature</w:t>
      </w:r>
      <w:r>
        <w:rPr>
          <w:rFonts w:ascii="Times New Roman" w:hAnsi="Times New Roman"/>
          <w:i/>
          <w:iCs/>
          <w:lang w:val="en-US"/>
        </w:rPr>
        <w:t xml:space="preserve"> - 1&lt;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sidR="00E11936">
        <w:rPr>
          <w:lang w:val="en-US"/>
        </w:rPr>
        <w:t xml:space="preserve"> for estimated parameter values</w:t>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E11936">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w:t>
      </w:r>
      <w:r w:rsidR="00E11936">
        <w:rPr>
          <w:lang w:val="en-US"/>
        </w:rPr>
        <w:t xml:space="preserve">SIM </w:t>
      </w:r>
      <w:r>
        <w:rPr>
          <w:lang w:val="en-US"/>
        </w:rPr>
        <w:t>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E11936">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w:t>
      </w:r>
      <w:r w:rsidR="00E11936">
        <w:rPr>
          <w:lang w:val="en-US"/>
        </w:rPr>
        <w:t>SIM</w:t>
      </w:r>
      <w:r>
        <w:rPr>
          <w:lang w:val="en-US"/>
        </w:rPr>
        <w:t xml:space="preserve">. </w:t>
      </w:r>
      <w:r w:rsidR="008C4383">
        <w:rPr>
          <w:lang w:val="en-US"/>
        </w:rPr>
        <w:t>Hence</w:t>
      </w:r>
      <w:r>
        <w:rPr>
          <w:lang w:val="en-US"/>
        </w:rPr>
        <w:t xml:space="preserve">, both the approximations and the simulation results agree that </w:t>
      </w:r>
      <w:r w:rsidR="00E11936">
        <w:rPr>
          <w:lang w:val="en-US"/>
        </w:rPr>
        <w:t xml:space="preserve">SIM </w:t>
      </w:r>
      <w:r>
        <w:rPr>
          <w:lang w:val="en-US"/>
        </w:rPr>
        <w:t xml:space="preserve">increases the adaptation rate, and that this effect increases with </w:t>
      </w:r>
      <w:r>
        <w:rPr>
          <w:rFonts w:ascii="Times New Roman" w:hAnsi="Times New Roman"/>
          <w:i/>
          <w:iCs/>
          <w:lang w:val="en-US"/>
        </w:rPr>
        <w:t>τ</w:t>
      </w:r>
      <w:r w:rsidR="00E11936" w:rsidRPr="00E11936">
        <w:rPr>
          <w:lang w:val="en-US"/>
        </w:rPr>
        <w:t xml:space="preserve">, </w:t>
      </w:r>
      <w:proofErr w:type="gramStart"/>
      <w:r w:rsidR="00E11936" w:rsidRPr="00E11936">
        <w:rPr>
          <w:lang w:val="en-US"/>
        </w:rPr>
        <w:t>th</w:t>
      </w:r>
      <w:r w:rsidR="00E11936">
        <w:rPr>
          <w:lang w:val="en-US"/>
        </w:rPr>
        <w:t>ee</w:t>
      </w:r>
      <w:proofErr w:type="gramEnd"/>
      <w:r w:rsidR="00E11936">
        <w:rPr>
          <w:lang w:val="en-US"/>
        </w:rPr>
        <w:t xml:space="preserve"> fold increase of mutation rate in stressed individuals</w:t>
      </w:r>
      <w:r>
        <w:rPr>
          <w:lang w:val="en-US"/>
        </w:rPr>
        <w:t>.</w:t>
      </w:r>
    </w:p>
    <w:p w:rsidR="00FE1408" w:rsidRDefault="004B3BD6" w:rsidP="00D42AA6">
      <w:pPr>
        <w:keepNext/>
        <w:jc w:val="center"/>
      </w:pPr>
      <w:r>
        <w:rPr>
          <w:noProof/>
          <w:lang w:val="en-US" w:bidi="he-IL"/>
        </w:rPr>
        <w:lastRenderedPageBreak/>
        <w:drawing>
          <wp:inline distT="0" distB="0" distL="0" distR="0" wp14:anchorId="78328564" wp14:editId="4534546D">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306DED">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w:t>
      </w:r>
      <w:r w:rsidR="00E11936">
        <w:rPr>
          <w:b w:val="0"/>
          <w:bCs w:val="0"/>
          <w:lang w:val="en-US"/>
        </w:rPr>
        <w:t xml:space="preserve">SIM </w:t>
      </w:r>
      <w:r w:rsidR="00A80402">
        <w:rPr>
          <w:b w:val="0"/>
          <w:bCs w:val="0"/>
          <w:lang w:val="en-US"/>
        </w:rPr>
        <w:t xml:space="preserve">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crease in fix</w:t>
      </w:r>
      <w:r w:rsidR="00306DED">
        <w:rPr>
          <w:b w:val="0"/>
          <w:bCs w:val="0"/>
          <w:lang w:val="en-US"/>
        </w:rPr>
        <w:t>ation probability</w:t>
      </w:r>
      <w:r w:rsidR="00A80402">
        <w:rPr>
          <w:b w:val="0"/>
          <w:bCs w:val="0"/>
          <w:lang w:val="en-US"/>
        </w:rPr>
        <w:t xml:space="preserve"> is to</w:t>
      </w:r>
      <w:r w:rsidR="00306DED">
        <w:rPr>
          <w:b w:val="0"/>
          <w:bCs w:val="0"/>
          <w:lang w:val="en-US"/>
        </w:rPr>
        <w:t>o</w:t>
      </w:r>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2"/>
    </w:p>
    <w:p w:rsidR="003277CF" w:rsidRDefault="003277CF" w:rsidP="00AD20B2">
      <w:pPr>
        <w:pStyle w:val="Heading1"/>
        <w:rPr>
          <w:lang w:val="en-US"/>
        </w:rPr>
      </w:pPr>
      <w:r w:rsidRPr="003277CF">
        <w:rPr>
          <w:lang w:val="en-US"/>
        </w:rPr>
        <w:t>Discussion</w:t>
      </w:r>
    </w:p>
    <w:p w:rsidR="00F650EA" w:rsidRDefault="00127E33" w:rsidP="00E11936">
      <w:pPr>
        <w:pStyle w:val="Firstparagraph"/>
        <w:rPr>
          <w:lang w:val="en-US"/>
        </w:rPr>
      </w:pPr>
      <w:r>
        <w:rPr>
          <w:lang w:val="en-US"/>
        </w:rPr>
        <w:t xml:space="preserve">We studied the effect of </w:t>
      </w:r>
      <w:r w:rsidR="00E11936">
        <w:rPr>
          <w:lang w:val="en-US"/>
        </w:rPr>
        <w:t>SIM</w:t>
      </w:r>
      <w:r>
        <w:rPr>
          <w:lang w:val="en-US"/>
        </w:rPr>
        <w:t xml:space="preserve"> on </w:t>
      </w:r>
      <w:r w:rsidR="00D303A2">
        <w:rPr>
          <w:lang w:val="en-US"/>
        </w:rPr>
        <w:t xml:space="preserve">complex </w:t>
      </w:r>
      <w:r>
        <w:rPr>
          <w:lang w:val="en-US"/>
        </w:rPr>
        <w:t xml:space="preserve">adaptation. Our </w:t>
      </w:r>
      <w:r w:rsidR="00D303A2">
        <w:rPr>
          <w:lang w:val="en-US"/>
        </w:rPr>
        <w:t xml:space="preserve">analysis, validated by </w:t>
      </w:r>
      <w:proofErr w:type="spellStart"/>
      <w:r w:rsidR="00D303A2">
        <w:rPr>
          <w:lang w:val="en-US"/>
        </w:rPr>
        <w:t>simulatios</w:t>
      </w:r>
      <w:proofErr w:type="spellEnd"/>
      <w:r>
        <w:rPr>
          <w:lang w:val="en-US"/>
        </w:rPr>
        <w:t>, show</w:t>
      </w:r>
      <w:r w:rsidR="00D303A2">
        <w:rPr>
          <w:lang w:val="en-US"/>
        </w:rPr>
        <w:t>s</w:t>
      </w:r>
      <w:r>
        <w:rPr>
          <w:lang w:val="en-US"/>
        </w:rPr>
        <w:t xml:space="preserve"> that </w:t>
      </w:r>
      <w:r w:rsidR="00E11936">
        <w:rPr>
          <w:lang w:val="en-US"/>
        </w:rPr>
        <w:t xml:space="preserve">SIM </w:t>
      </w:r>
      <w:r>
        <w:rPr>
          <w:lang w:val="en-US"/>
        </w:rPr>
        <w:t xml:space="preserve">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E11936">
      <w:pPr>
        <w:pStyle w:val="Firstparagraph"/>
        <w:rPr>
          <w:lang w:val="en-US"/>
        </w:rPr>
      </w:pPr>
      <w:r>
        <w:rPr>
          <w:lang w:val="en-US"/>
        </w:rPr>
        <w:t xml:space="preserve">An </w:t>
      </w:r>
      <w:r w:rsidR="009F66C0">
        <w:rPr>
          <w:lang w:val="en-US"/>
        </w:rPr>
        <w:t xml:space="preserve">alternative mutational strategy is </w:t>
      </w:r>
      <w:r>
        <w:rPr>
          <w:lang w:val="en-US"/>
        </w:rPr>
        <w:t xml:space="preserve">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detrimental </w:t>
      </w:r>
      <w:r>
        <w:rPr>
          <w:lang w:val="en-US"/>
        </w:rPr>
        <w:fldChar w:fldCharType="begin" w:fldLock="1"/>
      </w:r>
      <w:r w:rsidR="00FB219C">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"[14]" }, "properties" : { "noteIndex" : 0 }, "schema" : "https://github.com/citation-style-language/schema/raw/master/csl-citation.json" }</w:instrText>
      </w:r>
      <w:r>
        <w:rPr>
          <w:lang w:val="en-US"/>
        </w:rPr>
        <w:fldChar w:fldCharType="separate"/>
      </w:r>
      <w:r w:rsidR="009F66C0" w:rsidRPr="009F66C0">
        <w:rPr>
          <w:noProof/>
          <w:lang w:val="en-US"/>
        </w:rPr>
        <w:t>[14]</w:t>
      </w:r>
      <w:r>
        <w:rPr>
          <w:lang w:val="en-US"/>
        </w:rPr>
        <w:fldChar w:fldCharType="end"/>
      </w:r>
      <w:r>
        <w:rPr>
          <w:lang w:val="en-US"/>
        </w:rPr>
        <w:t xml:space="preserve"> and it is easily outcompeted by </w:t>
      </w:r>
      <w:r w:rsidR="00E11936">
        <w:rPr>
          <w:lang w:val="en-US"/>
        </w:rPr>
        <w:t xml:space="preserve">SIM </w:t>
      </w:r>
      <w:r>
        <w:rPr>
          <w:lang w:val="en-US"/>
        </w:rPr>
        <w:fldChar w:fldCharType="begin" w:fldLock="1"/>
      </w:r>
      <w:r w:rsidR="00FB219C">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Default="00F650EA" w:rsidP="00E11936">
      <w:pPr>
        <w:ind w:firstLine="0"/>
        <w:rPr>
          <w:lang w:val="en-US"/>
        </w:rPr>
      </w:pPr>
      <w:r>
        <w:rPr>
          <w:lang w:val="en-US"/>
        </w:rPr>
        <w:t xml:space="preserve">Our </w:t>
      </w:r>
      <w:r w:rsidR="00D303A2">
        <w:rPr>
          <w:lang w:val="en-US"/>
        </w:rPr>
        <w:t xml:space="preserve">work provides a formal theoretical </w:t>
      </w:r>
      <w:r>
        <w:rPr>
          <w:lang w:val="en-US"/>
        </w:rPr>
        <w:t xml:space="preserve">basis to the conjecture that </w:t>
      </w:r>
      <w:r w:rsidR="00E11936">
        <w:rPr>
          <w:lang w:val="en-US"/>
        </w:rPr>
        <w:t xml:space="preserve">SIM </w:t>
      </w:r>
      <w:r>
        <w:rPr>
          <w:lang w:val="en-US"/>
        </w:rPr>
        <w:t>facilitates adaptation and increases the evolvability of populations</w:t>
      </w:r>
      <w:r w:rsidR="00D303A2">
        <w:rPr>
          <w:lang w:val="en-US"/>
        </w:rPr>
        <w:t>.</w:t>
      </w:r>
      <w:r>
        <w:rPr>
          <w:lang w:val="en-US"/>
        </w:rPr>
        <w:t xml:space="preserve"> </w:t>
      </w:r>
      <w:r w:rsidR="009F66C0">
        <w:rPr>
          <w:lang w:val="en-US"/>
        </w:rPr>
        <w:t xml:space="preserve">The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FB219C">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"[15]" }, "properties" : { "noteIndex" : 0 }, "schema" : "https://github.com/citation-style-language/schema/raw/master/csl-citation.json" }</w:instrText>
      </w:r>
      <w:r w:rsidR="00D303A2">
        <w:rPr>
          <w:lang w:val="en-US"/>
        </w:rPr>
        <w:fldChar w:fldCharType="separate"/>
      </w:r>
      <w:r w:rsidR="009F66C0" w:rsidRPr="009F66C0">
        <w:rPr>
          <w:noProof/>
          <w:lang w:val="en-US"/>
        </w:rPr>
        <w:t>[15]</w:t>
      </w:r>
      <w:r w:rsidR="00D303A2">
        <w:rPr>
          <w:lang w:val="en-US"/>
        </w:rPr>
        <w:fldChar w:fldCharType="end"/>
      </w:r>
      <w:r>
        <w:rPr>
          <w:lang w:val="en-US"/>
        </w:rPr>
        <w:t xml:space="preserve">. </w:t>
      </w:r>
      <w:r w:rsidR="005B24C2">
        <w:rPr>
          <w:lang w:val="en-US"/>
        </w:rPr>
        <w:t>I</w:t>
      </w:r>
      <w:r>
        <w:rPr>
          <w:lang w:val="en-US"/>
        </w:rPr>
        <w:t>f</w:t>
      </w:r>
      <w:r w:rsidR="009F66C0">
        <w:rPr>
          <w:lang w:val="en-US"/>
        </w:rPr>
        <w:t xml:space="preserve"> an experimental </w:t>
      </w:r>
      <w:r>
        <w:rPr>
          <w:lang w:val="en-US"/>
        </w:rPr>
        <w:t>population evolve</w:t>
      </w:r>
      <w:r w:rsidR="00FE41B4">
        <w:rPr>
          <w:lang w:val="en-US"/>
        </w:rPr>
        <w:t xml:space="preserve">s </w:t>
      </w:r>
      <w:r w:rsidR="009F66C0">
        <w:rPr>
          <w:lang w:val="en-US"/>
        </w:rPr>
        <w:t>under specific conditions such as described in our model</w:t>
      </w:r>
      <w:r>
        <w:rPr>
          <w:lang w:val="en-US"/>
        </w:rPr>
        <w:t xml:space="preserve">, </w:t>
      </w:r>
      <w:r w:rsidR="009F66C0">
        <w:rPr>
          <w:lang w:val="en-US"/>
        </w:rPr>
        <w:t xml:space="preserve">it will be possible to </w:t>
      </w:r>
      <w:r w:rsidR="005B24C2">
        <w:rPr>
          <w:lang w:val="en-US"/>
        </w:rPr>
        <w:t xml:space="preserve">measure the adaptation time with and without </w:t>
      </w:r>
      <w:r w:rsidR="00E11936">
        <w:rPr>
          <w:lang w:val="en-US"/>
        </w:rPr>
        <w:t xml:space="preserve">SIM </w:t>
      </w:r>
      <w:r w:rsidR="005B24C2">
        <w:rPr>
          <w:lang w:val="en-US"/>
        </w:rPr>
        <w:t>and compare it to</w:t>
      </w:r>
      <w:r w:rsidR="009F66C0">
        <w:rPr>
          <w:lang w:val="en-US"/>
        </w:rPr>
        <w:t xml:space="preserve"> our analytical approximations.</w:t>
      </w:r>
    </w:p>
    <w:p w:rsidR="009F66C0" w:rsidRPr="00F650EA" w:rsidRDefault="009F66C0" w:rsidP="00E11936">
      <w:pPr>
        <w:ind w:firstLine="0"/>
        <w:rPr>
          <w:lang w:val="en-US"/>
        </w:rPr>
      </w:pPr>
      <w:r>
        <w:rPr>
          <w:lang w:val="en-US"/>
        </w:rPr>
        <w:t>C</w:t>
      </w:r>
      <w:r w:rsidRPr="00BA5858">
        <w:rPr>
          <w:lang w:val="en-US"/>
        </w:rPr>
        <w:t>omplex traits, c</w:t>
      </w:r>
      <w:r>
        <w:rPr>
          <w:lang w:val="en-US"/>
        </w:rPr>
        <w:t>oded by multiple genes, present</w:t>
      </w:r>
      <w:r w:rsidRPr="00BA5858">
        <w:rPr>
          <w:lang w:val="en-US"/>
        </w:rPr>
        <w:t xml:space="preserve"> an open evolutionary question, first described by Sewall Wright in 1931</w:t>
      </w:r>
      <w:r>
        <w:rPr>
          <w:lang w:val="en-US"/>
        </w:rPr>
        <w:t xml:space="preserve">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sidRPr="00BA5858">
        <w:rPr>
          <w:lang w:val="en-US"/>
        </w:rPr>
        <w:t xml:space="preserve">: </w:t>
      </w:r>
      <w:r w:rsidRPr="00ED18BD">
        <w:rPr>
          <w:i/>
          <w:iCs/>
          <w:lang w:val="en-US"/>
        </w:rPr>
        <w:t>if different alleles are separately deleterious but jointly advantageous, how can a population evolve from one co-adapted gene complex to a better one?</w:t>
      </w:r>
      <w:r>
        <w:rPr>
          <w:lang w:val="en-US"/>
        </w:rPr>
        <w:t xml:space="preserve"> Wright suggested the "shifting-balance theory of evolution" </w:t>
      </w:r>
      <w:r>
        <w:rPr>
          <w:lang w:val="en-US"/>
        </w:rPr>
        <w:fldChar w:fldCharType="begin" w:fldLock="1"/>
      </w:r>
      <w:r w:rsidR="00FB219C">
        <w:rPr>
          <w:lang w:val="en-US"/>
        </w:rPr>
        <w:instrText>ADDIN CSL_CITATION { "citationItems" : [ { "id" : "ITEM-1", "itemData" : { "DOI" : "10.1086/284777",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"[16]" }, "properties" : { "noteIndex" : 0 }, "schema" : "https://github.com/citation-style-language/schema/raw/master/csl-citation.json" }</w:instrText>
      </w:r>
      <w:r>
        <w:rPr>
          <w:lang w:val="en-US"/>
        </w:rPr>
        <w:fldChar w:fldCharType="separate"/>
      </w:r>
      <w:r w:rsidRPr="009F66C0">
        <w:rPr>
          <w:noProof/>
          <w:lang w:val="en-US"/>
        </w:rPr>
        <w:t>[16]</w:t>
      </w:r>
      <w:r>
        <w:rPr>
          <w:lang w:val="en-US"/>
        </w:rPr>
        <w:fldChar w:fldCharType="end"/>
      </w:r>
      <w:r>
        <w:rPr>
          <w:lang w:val="en-US"/>
        </w:rPr>
        <w:t xml:space="preserve">. His solution is valid </w:t>
      </w:r>
      <w:r>
        <w:rPr>
          <w:lang w:val="en-US"/>
        </w:rPr>
        <w:fldChar w:fldCharType="begin" w:fldLock="1"/>
      </w:r>
      <w:r w:rsidR="00FB219C">
        <w:rPr>
          <w:lang w:val="en-US"/>
        </w:rPr>
        <w:instrText>ADDIN CSL_CITATION { "citationItems" : [ { "id" : "ITEM-1", "itemData" : { "DOI" : "10.2307/2409403",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"3" ] ] }, "page" : "233",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"DOI" : "10.1111/j.0014-3820.2000.tb00035.x", "author" : [ { "dropping-particle" : "", "family" : "Peck", "given" : "Steven L", "non-dropping-particle" : "", "parse-names" : false, "suffix" : "" }, { "dropping-particle" : "", "family" : "Ellner", "given" : "Stephen P", "non-dropping-particle" : "", "parse-names" : false, "suffix" : "" }, { "dropping-particle" : "", "family" : "Gould", "given" : "Fred",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"[17\u201319]" }, "properties" : { "noteIndex" : 0 }, "schema" : "https://github.com/citation-style-language/schema/raw/master/csl-citation.json" }</w:instrText>
      </w:r>
      <w:r>
        <w:rPr>
          <w:lang w:val="en-US"/>
        </w:rPr>
        <w:fldChar w:fldCharType="separate"/>
      </w:r>
      <w:r w:rsidRPr="009F66C0">
        <w:rPr>
          <w:noProof/>
          <w:lang w:val="en-US"/>
        </w:rPr>
        <w:t>[17</w:t>
      </w:r>
      <w:r w:rsidRPr="009F66C0">
        <w:rPr>
          <w:rFonts w:ascii="Arial" w:hAnsi="Arial" w:cs="Arial"/>
          <w:noProof/>
          <w:lang w:val="en-US"/>
        </w:rPr>
        <w:t>–</w:t>
      </w:r>
      <w:r w:rsidRPr="009F66C0">
        <w:rPr>
          <w:noProof/>
          <w:lang w:val="en-US"/>
        </w:rPr>
        <w:t>19]</w:t>
      </w:r>
      <w:r>
        <w:rPr>
          <w:lang w:val="en-US"/>
        </w:rPr>
        <w:fldChar w:fldCharType="end"/>
      </w:r>
      <w:r>
        <w:rPr>
          <w:lang w:val="en-US"/>
        </w:rPr>
        <w:t xml:space="preserve"> but is possibly limited to specific parameter ranges </w:t>
      </w:r>
      <w:r>
        <w:rPr>
          <w:lang w:val="en-US"/>
        </w:rPr>
        <w:fldChar w:fldCharType="begin" w:fldLock="1"/>
      </w:r>
      <w:r w:rsidR="00FB219C">
        <w:rPr>
          <w:lang w:val="en-US"/>
        </w:rPr>
        <w:instrText>ADDIN CSL_CITATION { "citationItems" : [ { "id" : "ITEM-1", "itemData" : { "DOI" : "10.2307/2410004",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"Francisco B.-G.", "non-dropping-particle" : "", "parse-names" : false, "suffix" : "" }, { "dropping-particle" : "", "family" : "Tonsor", "given" : "Stephen J", "non-dropping-particle" : "", "parse-names" : false, "suffix" : "" } ], "container-title" : "Evolution", "id" : "ITEM-1", "issue" : "1", "issued" : { "date-parts" : [ [ "1994", "2" ] ] }, "page" : "69", "title" : "A Simulation of Wright's Shifting-Balance Process: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"ITEM-3", "issue" : "1", "issued" : { "date-parts" : [ [ "2000", "2" ] ] }, "page" : "306-317", "title" : "Is Wright's shifting balance process important in evolution?", "type" : "article-journal", "volume" : "54" }, "uris" : [ "http://www.mendeley.com/documents/?uuid=bfc90c03-d5e0-414d-a8c7-d6840ae8d2fd" ] }, { "id" : "ITEM-4", "itemData" : { "DOI" : "10.1016/S0169-5347(00)01930-3",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"Patrick C", "non-dropping-particle" : "", "parse-names" : false, "suffix" : "" } ], "container-title" : "Trends in Ecology &amp; Evolution", "id" : "ITEM-4", "issue" : "9", "issued" : { "date-parts" : [ [ "2000", "9" ] ] }, "page" : "347-348", "title" : "The exquisite corpse: a shifting view of the shifting balance", "type" : "article-journal", "volume" : "15" }, "uris" : [ "http://www.mendeley.com/documents/?uuid=b48f5779-e3ce-4778-a096-b532180cbb17" ] } ], "mendeley" : { "previouslyFormattedCitation" : "[20\u201323]" }, "properties" : { "noteIndex" : 0 }, "schema" : "https://github.com/citation-style-language/schema/raw/master/csl-citation.json" }</w:instrText>
      </w:r>
      <w:r>
        <w:rPr>
          <w:lang w:val="en-US"/>
        </w:rPr>
        <w:fldChar w:fldCharType="separate"/>
      </w:r>
      <w:r w:rsidR="002B576C" w:rsidRPr="002B576C">
        <w:rPr>
          <w:noProof/>
          <w:lang w:val="en-US"/>
        </w:rPr>
        <w:t>[20</w:t>
      </w:r>
      <w:r w:rsidR="002B576C" w:rsidRPr="002B576C">
        <w:rPr>
          <w:rFonts w:ascii="Arial" w:hAnsi="Arial" w:cs="Arial"/>
          <w:noProof/>
          <w:lang w:val="en-US"/>
        </w:rPr>
        <w:t>–</w:t>
      </w:r>
      <w:r w:rsidR="002B576C" w:rsidRPr="002B576C">
        <w:rPr>
          <w:noProof/>
          <w:lang w:val="en-US"/>
        </w:rPr>
        <w:t>23]</w:t>
      </w:r>
      <w:r>
        <w:rPr>
          <w:lang w:val="en-US"/>
        </w:rPr>
        <w:fldChar w:fldCharType="end"/>
      </w:r>
      <w:r>
        <w:rPr>
          <w:lang w:val="en-US"/>
        </w:rPr>
        <w:t xml:space="preserve">. As a result, other mechanisms to solve the problem were provided </w:t>
      </w:r>
      <w:r>
        <w:rPr>
          <w:lang w:val="en-US"/>
        </w:rPr>
        <w:fldChar w:fldCharType="begin" w:fldLock="1"/>
      </w:r>
      <w:r w:rsidR="00FB219C">
        <w:rPr>
          <w:lang w:val="en-US"/>
        </w:rPr>
        <w:instrText>ADDIN CSL_CITATION { "citationItems" : [ { "id" : "ITEM-1", "itemData" : { "DOI" : "10.2307/2410335", "abstract" : "The increase in phenotypic variance that occurs in some populations as a result of bottlenecks and founder events can cause a dramatic increase in the probability of a peak shift from one adaptive state to another. Periods of small population size allow drift in the amount of phenotypic variance. Increases in phenotypic variance, coupled with a constant individual fitness function with multiple peaks, can cause the mean fitness landscape to change from bimodal to unimodal, thereby allowing the population's mean phenotype to change deterministically by selection. As the amount of phenotypic variance is returned to an equilibrium state, the multiple peaks reemerge, but the population has moved from one stable state to another. These variance-induced peak shifts allow punctuational evolution from one peak to another at a rate that can be much higher than that predicted by Wright's shifting-balance process alone.", "author" : [ { "dropping-particle" : "", "family" : "Whitlock", "given" : "Michael C.", "non-dropping-particle" : "", "parse-names" : false, "suffix" : "" } ], "container-title" : "Evolution", "id" : "ITEM-1", "issue" : "2", "issued" : { "date-parts" : [ [ "1995", "4" ] ] }, "page" : "252", "title" : "Variance-Induced Peak Shifts", "type" : "article-journal", "volume" : "49" }, "uris" : [ "http://www.mendeley.com/documents/?uuid=9677a331-0ab6-445a-9ebb-7dd74f04895d" ] }, { "id" : "ITEM-2", "itemData" : { "DOI" : "10.2307/2411033", "abstract" : "Two similar evolutionary theories, the shifting balance theory and founder-flush models, invoke random genetic drift to allow evolution on complex adaptive landscapes. These models, in their usual incarnations, deal with fitness as a static entity, and the probability of transition from one form to another is predicted to be quite small by analysis of these models. Fitness itself can change, however, and the amount of change in the parameters of the fitness functions required to allow deterministic evolution to new adaptive peaks is very small. The probability of environmental changes sufficient to allow substantial morphological evolution or reproductive isolation is large relative to the probability that similar changes could occur by processes requiring genetic drift, even with very small population sizes. The rapid evolution or speciation following a population founding event is more closely linked with environmental changes than genetic drift.", "author" : [ { "dropping-particle" : "", "family" : "Whitlock", "given" : "Michael C.", "non-dropping-particle" : "", "parse-names" : false, "suffix" : "" } ], "container-title" : "Evolution", "id" : "ITEM-2", "issue" : "4", "issued" : { "date-parts" : [ [ "1997", "8" ] ] }, "page" : "1044", "title" : "Founder Effects and Peak Shifts Without Genetic Drift: Adaptive Peak Shifts Occur Easily When Environments Fluctuate Slightly", "type" : "article-journal", "volume" : "51" }, "uris" : [ "http://www.mendeley.com/documents/?uuid=48fba2e5-f15a-4da5-9774-8911ec3ca826" ] }, { "id" : "ITEM-3", "itemData" : { "DOI" : "10.1016/S0040-5809(02)00011-4", "abstract" : "The problem of moving from one coadapted gene complex to a better one can be divided into two steps: first the advantageous combination has to appear and then it has to take over the population. Selection can have contrasting effects on the two stages. When selection is weak intermediate forms are frequent, and the advantageous combination appears easily. Spreading of that advantageous combination, on the other hand, tends to be hard, as recombination acts to break it. The opposite is true when selection is strong. Spreading is easier, but if selection is also strong against the intermediate forms, the appearance of the beneficial combination becomes an extremely rare event. This inherent contrast in the optimal conditions for the two stages raises the possibility that proximity of areas differing in the intensity of selection may significantly shorten the expected waiting time for a peak shift. We studied this phenomenon in a haploid two-locus diallelic model of two neighboring subpopulations. Our results show that limited migration between the two areas might shorten the waiting time for a peak shift by orders of magnitude in comparison with either complete isolation or complete mixing. Implications for peripheral evolution and speciation are discussed.", "author" : [ { "dropping-particle" : "", "family" : "Hadany", "given" : "Lilach", "non-dropping-particle" : "", "parse-names" : false, "suffix" : "" } ], "container-title" : "Theoretical Population Biology", "id" : "ITEM-3", "issue" : "1", "issued" : { "date-parts" : [ [ "2003", "2" ] ] }, "page" : "41-51", "title" : "Adaptive peak shifts in a heterogenous environment", "type" : "article-journal", "volume" : "63" }, "uris" : [ "http://www.mendeley.com/documents/?uuid=e48413a3-7f71-4094-aced-178c92e4447f" ] }, { "id" : "ITEM-4", "itemData" : { "DOI" : "10.1046/j.1420-9101.2003.00586.x", "abstract" : "A negative correlation between fitness and recombination rates seems to exist in various organisms. In this article we suggest that a correlation of that kind may play an important role in the evolution of complex traits. We study the effects of such fitness-associated recombination (FAR) in a simple two-locus deterministic model, as well as in a multi-loci NK rugged adaptive landscape. In both models studied, FAR results in faster adaptation and higher average population fitness, compared with uniform-rate recombination.", "author" : [ { "dropping-particle" : "", "family" : "Hadany", "given" : "Lilach", "non-dropping-particle" : "", "parse-names" : false, "suffix" : "" }, { "dropping-particle" : "", "family" : "Beker", "given" : "Tuvik", "non-dropping-particle" : "", "parse-names" : false, "suffix" : "" } ], "container-title" : "Journal of Evolutionary Biology", "id" : "ITEM-4", "issue" : "5", "issued" : { "date-parts" : [ [ "2003", "9" ] ] }, "page" : "862-870", "title" : "Fitness-associated recombination on rugged adaptive landscapes", "type" : "article-journal", "volume" : "16" }, "uris" : [ "http://www.mendeley.com/documents/?uuid=a73c2de4-f081-4ce5-b626-a1c3730364a0" ] }, { "id" : "ITEM-5", "itemData" : { "DOI" : "10.1016/j.tpb.2009.02.006", "abstract" : "Complex traits often involve interactions between different genetic loci. This can lead to sign epistasis, whereby mutations that are individually deleterious or neutral combine to confer a fitness benefit. In order to acquire the beneficial genotype, an asexual population must cross a fitness valley or plateau by first acquiring the deleterious or neutral intermediates. Here, we present a complete, intuitive theoretical description of the valley-crossing process across the full spectrum of possible parameter regimes. We calculate the rate at which a population crosses a fitness valley or plateau of arbitrary width, as a function of the mutation rates, the population size, and the fitnesses of the intermediates. We find that when intermediates are close to neutral, a large population can cross even wide fitness valleys remarkably quickly, so that valley-crossing dynamics may be common even when mutations that directly increase fitness are also possible. Thus the evolutionary dynamics of large populations can be sensitive to the structure of an extended region of the fitness landscape - the population may not take directly uphill paths in favor of paths across valleys and plateaus that lead eventually to fitter genotypes. In smaller populations, we find that below a threshold size, which depends on the width of the fitness valley and the strength of selection against intermediate genotypes, valley-crossing is much less likely and hence the evolutionary dynamics are less influenced by distant regions of the fitness landscape.", "author" : [ { "dropping-particle" : "", "family" : "Weissman", "given" : "Daniel B.", "non-dropping-particle" : "", "parse-names" : false, "suffix" : "" }, { "dropping-particle" : "", "family" : "Desai", "given" : "Michael M", "non-dropping-particle" : "", "parse-names" : false, "suffix" : "" }, { "dropping-particle" : "", "family" : "Fisher", "given" : "Daniel S.", "non-dropping-particle" : "", "parse-names" : false, "suffix" : "" }, { "dropping-particle" : "", "family" : "Feldman", "given" : "Marcus W.", "non-dropping-particle" : "", "parse-names" : false, "suffix" : "" } ], "container-title" : "Theoretical population biology", "id" : "ITEM-5", "issue" : "4", "issued" : { "date-parts" : [ [ "2009", "6" ] ] }, "page" : "286-300", "publisher" : "Elsevier Inc.", "title" : "The rate at which asexual populations cross fitness valleys.", "type" : "article-journal", "volume" : "75" }, "uris" : [ "http://www.mendeley.com/documents/?uuid=bee6ce89-ea59-4b39-a20c-ad9a53ae049d" ] } ], "mendeley" : { "previouslyFormattedCitation" : "[24\u201328]" }, "properties" : { "noteIndex" : 0 }, "schema" : "https://github.com/citation-style-language/schema/raw/master/csl-citation.json" }</w:instrText>
      </w:r>
      <w:r>
        <w:rPr>
          <w:lang w:val="en-US"/>
        </w:rPr>
        <w:fldChar w:fldCharType="separate"/>
      </w:r>
      <w:r w:rsidR="00082550" w:rsidRPr="00082550">
        <w:rPr>
          <w:noProof/>
          <w:lang w:val="en-US"/>
        </w:rPr>
        <w:t>[24</w:t>
      </w:r>
      <w:r w:rsidR="00082550" w:rsidRPr="00082550">
        <w:rPr>
          <w:rFonts w:ascii="Arial" w:hAnsi="Arial" w:cs="Arial"/>
          <w:noProof/>
          <w:lang w:val="en-US"/>
        </w:rPr>
        <w:t>–</w:t>
      </w:r>
      <w:r w:rsidR="00082550" w:rsidRPr="00082550">
        <w:rPr>
          <w:noProof/>
          <w:lang w:val="en-US"/>
        </w:rPr>
        <w:t>28]</w:t>
      </w:r>
      <w:r>
        <w:rPr>
          <w:lang w:val="en-US"/>
        </w:rPr>
        <w:fldChar w:fldCharType="end"/>
      </w:r>
      <w:r>
        <w:rPr>
          <w:lang w:val="en-US"/>
        </w:rPr>
        <w:t xml:space="preserve">. This work </w:t>
      </w:r>
      <w:r w:rsidR="00E11936">
        <w:rPr>
          <w:lang w:val="en-US"/>
        </w:rPr>
        <w:t xml:space="preserve">presents </w:t>
      </w:r>
      <w:proofErr w:type="gramStart"/>
      <w:r w:rsidR="00E11936">
        <w:rPr>
          <w:lang w:val="en-US"/>
        </w:rPr>
        <w:t xml:space="preserve">SIM </w:t>
      </w:r>
      <w:r w:rsidR="00E11936">
        <w:rPr>
          <w:lang w:val="en-US"/>
        </w:rPr>
        <w:t xml:space="preserve"> as</w:t>
      </w:r>
      <w:proofErr w:type="gramEnd"/>
      <w:r w:rsidR="00E11936">
        <w:rPr>
          <w:lang w:val="en-US"/>
        </w:rPr>
        <w:t xml:space="preserve"> </w:t>
      </w:r>
      <w:r>
        <w:rPr>
          <w:lang w:val="en-US"/>
        </w:rPr>
        <w:t>another mechanism that can help resolve this century old problem.</w:t>
      </w:r>
    </w:p>
    <w:p w:rsidR="003277CF" w:rsidRPr="00FE41B4" w:rsidRDefault="00CB0B5A" w:rsidP="003277CF">
      <w:pPr>
        <w:pStyle w:val="Heading1"/>
        <w:rPr>
          <w:lang w:val="en-US"/>
        </w:rPr>
      </w:pPr>
      <w:r w:rsidRPr="00FE41B4">
        <w:rPr>
          <w:lang w:val="en-US"/>
        </w:rPr>
        <w:t>Acknowledgments</w:t>
      </w:r>
    </w:p>
    <w:p w:rsidR="005B24C2" w:rsidRDefault="00431366" w:rsidP="005B24C2">
      <w:pPr>
        <w:spacing w:line="480" w:lineRule="auto"/>
        <w:ind w:firstLine="284"/>
      </w:pPr>
      <w:r w:rsidRPr="00FE41B4">
        <w:rPr>
          <w:lang w:val="en-US"/>
        </w:rPr>
        <w:t xml:space="preserve">The work </w:t>
      </w:r>
      <w:r w:rsidR="005B24C2" w:rsidRPr="00FE41B4">
        <w:t>was supported in part by the Israel Science Foundation 840/08 (L.H.) and by Marie Curie reintegration grant 2007-224866 (L.H.).</w:t>
      </w:r>
    </w:p>
    <w:p w:rsidR="001F1352" w:rsidRDefault="00CB0B5A" w:rsidP="00AE4CC8">
      <w:pPr>
        <w:pStyle w:val="Heading1"/>
        <w:rPr>
          <w:lang w:val="en-US"/>
        </w:rPr>
      </w:pPr>
      <w:r>
        <w:rPr>
          <w:lang w:val="en-US"/>
        </w:rPr>
        <w:lastRenderedPageBreak/>
        <w:t xml:space="preserve">Data </w:t>
      </w:r>
      <w:proofErr w:type="spellStart"/>
      <w:r w:rsidR="00AE4CC8">
        <w:rPr>
          <w:lang w:val="en-US"/>
        </w:rPr>
        <w:t>a</w:t>
      </w:r>
      <w:r>
        <w:rPr>
          <w:lang w:val="en-US"/>
        </w:rPr>
        <w:t>ccessability</w:t>
      </w:r>
      <w:proofErr w:type="spellEnd"/>
    </w:p>
    <w:p w:rsidR="001F1352" w:rsidRPr="003D35E9" w:rsidRDefault="00F16DA0" w:rsidP="00F16DA0">
      <w:pPr>
        <w:pStyle w:val="Firstparagraph"/>
        <w:rPr>
          <w:lang w:val="en-US"/>
        </w:rPr>
      </w:pPr>
      <w:r>
        <w:t>T</w:t>
      </w:r>
      <w:r w:rsidR="00FE41B4">
        <w:t xml:space="preserve">he simulated data </w:t>
      </w:r>
      <w:r w:rsidR="00431366">
        <w:t>and</w:t>
      </w:r>
      <w:r w:rsidR="00F73F5C">
        <w:t xml:space="preserve"> the </w:t>
      </w:r>
      <w:r>
        <w:t>Python</w:t>
      </w:r>
      <w:r w:rsidR="00F73F5C">
        <w:t xml:space="preserve"> code used to analyse </w:t>
      </w:r>
      <w:r w:rsidR="00FE41B4">
        <w:t xml:space="preserve">it were deposited on </w:t>
      </w:r>
      <w:proofErr w:type="spellStart"/>
      <w:r w:rsidR="00FE41B4" w:rsidRPr="00FE41B4">
        <w:rPr>
          <w:highlight w:val="yellow"/>
        </w:rPr>
        <w:t>FigShare</w:t>
      </w:r>
      <w:proofErr w:type="spellEnd"/>
      <w:r w:rsidR="00FE41B4" w:rsidRPr="00FE41B4">
        <w:rPr>
          <w:highlight w:val="yellow"/>
        </w:rPr>
        <w:t xml:space="preserve"> </w:t>
      </w:r>
      <w:r w:rsidR="00FE41B4" w:rsidRPr="00FE41B4">
        <w:rPr>
          <w:rFonts w:ascii="Arial" w:hAnsi="Arial" w:cs="Arial"/>
          <w:highlight w:val="yellow"/>
        </w:rPr>
        <w:t>…</w:t>
      </w:r>
    </w:p>
    <w:p w:rsidR="003277CF" w:rsidRDefault="003277CF" w:rsidP="003277CF">
      <w:pPr>
        <w:pStyle w:val="Heading1"/>
        <w:rPr>
          <w:lang w:val="en-US"/>
        </w:rPr>
      </w:pPr>
      <w:r>
        <w:rPr>
          <w:lang w:val="en-US"/>
        </w:rPr>
        <w:t>References</w:t>
      </w:r>
    </w:p>
    <w:p w:rsidR="00FB219C" w:rsidRPr="00FB219C" w:rsidRDefault="00127E33">
      <w:pPr>
        <w:pStyle w:val="NormalWeb"/>
        <w:ind w:left="640" w:hanging="640"/>
        <w:divId w:val="1346244422"/>
        <w:rPr>
          <w:rFonts w:ascii="cmr10" w:hAnsi="cmr10"/>
          <w:noProof/>
          <w:sz w:val="20"/>
        </w:rPr>
      </w:pPr>
      <w:r>
        <w:fldChar w:fldCharType="begin" w:fldLock="1"/>
      </w:r>
      <w:r>
        <w:instrText xml:space="preserve">ADDIN Mendeley Bibliography CSL_BIBLIOGRAPHY </w:instrText>
      </w:r>
      <w:r>
        <w:fldChar w:fldCharType="separate"/>
      </w:r>
      <w:r w:rsidR="00FB219C" w:rsidRPr="00FB219C">
        <w:rPr>
          <w:rFonts w:ascii="cmr10" w:hAnsi="cmr10"/>
          <w:noProof/>
          <w:sz w:val="20"/>
        </w:rPr>
        <w:t xml:space="preserve">1 </w:t>
      </w:r>
      <w:r w:rsidR="00FB219C" w:rsidRPr="00FB219C">
        <w:rPr>
          <w:rFonts w:ascii="cmr10" w:hAnsi="cmr10"/>
          <w:noProof/>
          <w:sz w:val="20"/>
        </w:rPr>
        <w:tab/>
        <w:t xml:space="preserve">Galhardo, R. S., Hastings, P. J. &amp; Rosenberg, S. M. 2007 Mutation as a stress response and the regulation of evolvability. </w:t>
      </w:r>
      <w:r w:rsidR="00FB219C" w:rsidRPr="00FB219C">
        <w:rPr>
          <w:rFonts w:ascii="cmr10" w:hAnsi="cmr10"/>
          <w:i/>
          <w:iCs/>
          <w:noProof/>
          <w:sz w:val="20"/>
        </w:rPr>
        <w:t>Crit. Rev. Biochem. Mol. Biol.</w:t>
      </w:r>
      <w:r w:rsidR="00FB219C" w:rsidRPr="00FB219C">
        <w:rPr>
          <w:rFonts w:ascii="cmr10" w:hAnsi="cmr10"/>
          <w:noProof/>
          <w:sz w:val="20"/>
        </w:rPr>
        <w:t xml:space="preserve"> </w:t>
      </w:r>
      <w:r w:rsidR="00FB219C" w:rsidRPr="00FB219C">
        <w:rPr>
          <w:rFonts w:ascii="cmr10" w:hAnsi="cmr10"/>
          <w:b/>
          <w:bCs/>
          <w:noProof/>
          <w:sz w:val="20"/>
        </w:rPr>
        <w:t>42</w:t>
      </w:r>
      <w:r w:rsidR="00FB219C" w:rsidRPr="00FB219C">
        <w:rPr>
          <w:rFonts w:ascii="cmr10" w:hAnsi="cmr10"/>
          <w:noProof/>
          <w:sz w:val="20"/>
        </w:rPr>
        <w:t>, 399–435. (doi:10.1080/10409230701648502)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 </w:t>
      </w:r>
      <w:r w:rsidRPr="00FB219C">
        <w:rPr>
          <w:rFonts w:ascii="cmr10" w:hAnsi="cmr10"/>
          <w:noProof/>
          <w:sz w:val="20"/>
        </w:rPr>
        <w:tab/>
        <w:t xml:space="preserve">Sharp, N. P. &amp; Agrawal, A. F. 2012 Evidence for elevated mutation rates in low-quality genotypes. </w:t>
      </w:r>
      <w:r w:rsidRPr="00FB219C">
        <w:rPr>
          <w:rFonts w:ascii="cmr10" w:hAnsi="cmr10"/>
          <w:i/>
          <w:iCs/>
          <w:noProof/>
          <w:sz w:val="20"/>
        </w:rPr>
        <w:t>Proc. Natl. Acad. Sci. US. A.</w:t>
      </w:r>
      <w:r w:rsidRPr="00FB219C">
        <w:rPr>
          <w:rFonts w:ascii="cmr10" w:hAnsi="cmr10"/>
          <w:noProof/>
          <w:sz w:val="20"/>
        </w:rPr>
        <w:t xml:space="preserve"> </w:t>
      </w:r>
      <w:r w:rsidRPr="00FB219C">
        <w:rPr>
          <w:rFonts w:ascii="cmr10" w:hAnsi="cmr10"/>
          <w:b/>
          <w:bCs/>
          <w:noProof/>
          <w:sz w:val="20"/>
        </w:rPr>
        <w:t>109</w:t>
      </w:r>
      <w:r w:rsidRPr="00FB219C">
        <w:rPr>
          <w:rFonts w:ascii="cmr10" w:hAnsi="cmr10"/>
          <w:noProof/>
          <w:sz w:val="20"/>
        </w:rPr>
        <w:t>, 6142–6. (doi:10.1073/pnas.1118918109)</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3 </w:t>
      </w:r>
      <w:r w:rsidRPr="00FB219C">
        <w:rPr>
          <w:rFonts w:ascii="cmr10" w:hAnsi="cmr10"/>
          <w:noProof/>
          <w:sz w:val="20"/>
        </w:rPr>
        <w:tab/>
        <w:t xml:space="preserve">MacLean, R. C., Torres-Barceló, C. &amp; Moxon, R. 2013 Evaluating evolutionary models of stress-induced mutagenesis in bacteria. </w:t>
      </w:r>
      <w:r w:rsidRPr="00FB219C">
        <w:rPr>
          <w:rFonts w:ascii="cmr10" w:hAnsi="cmr10"/>
          <w:i/>
          <w:iCs/>
          <w:noProof/>
          <w:sz w:val="20"/>
        </w:rPr>
        <w:t>Nat. Rev. Genet.</w:t>
      </w:r>
      <w:r w:rsidRPr="00FB219C">
        <w:rPr>
          <w:rFonts w:ascii="cmr10" w:hAnsi="cmr10"/>
          <w:noProof/>
          <w:sz w:val="20"/>
        </w:rPr>
        <w:t xml:space="preserve"> </w:t>
      </w:r>
      <w:r w:rsidRPr="00FB219C">
        <w:rPr>
          <w:rFonts w:ascii="cmr10" w:hAnsi="cmr10"/>
          <w:b/>
          <w:bCs/>
          <w:noProof/>
          <w:sz w:val="20"/>
        </w:rPr>
        <w:t>14</w:t>
      </w:r>
      <w:r w:rsidRPr="00FB219C">
        <w:rPr>
          <w:rFonts w:ascii="cmr10" w:hAnsi="cmr10"/>
          <w:noProof/>
          <w:sz w:val="20"/>
        </w:rPr>
        <w:t>, 221–7. (doi:10.1038/nrg3415)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4 </w:t>
      </w:r>
      <w:r w:rsidRPr="00FB219C">
        <w:rPr>
          <w:rFonts w:ascii="cmr10" w:hAnsi="cmr10"/>
          <w:noProof/>
          <w:sz w:val="20"/>
        </w:rPr>
        <w:tab/>
        <w:t xml:space="preserve">Tenaillon, O., Denamur, E. &amp; Matic, I. 2004 Evolutionary significance of stress-induced mutagenesis in bacteria. </w:t>
      </w:r>
      <w:r w:rsidRPr="00FB219C">
        <w:rPr>
          <w:rFonts w:ascii="cmr10" w:hAnsi="cmr10"/>
          <w:i/>
          <w:iCs/>
          <w:noProof/>
          <w:sz w:val="20"/>
        </w:rPr>
        <w:t>Trends. Microbiol.</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264–70. (doi:10.1016/j.tim.2004.04.002)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5 </w:t>
      </w:r>
      <w:r w:rsidRPr="00FB219C">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FB219C">
        <w:rPr>
          <w:rFonts w:ascii="cmr10" w:hAnsi="cmr10"/>
          <w:i/>
          <w:iCs/>
          <w:noProof/>
          <w:sz w:val="20"/>
        </w:rPr>
        <w:t>Bioessays.</w:t>
      </w:r>
      <w:r w:rsidRPr="00FB219C">
        <w:rPr>
          <w:rFonts w:ascii="cmr10" w:hAnsi="cmr10"/>
          <w:noProof/>
          <w:sz w:val="20"/>
        </w:rPr>
        <w:t xml:space="preserve"> , 1–8. (doi:10.1002/bies.201200050)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6 </w:t>
      </w:r>
      <w:r w:rsidRPr="00FB219C">
        <w:rPr>
          <w:rFonts w:ascii="cmr10" w:hAnsi="cmr10"/>
          <w:noProof/>
          <w:sz w:val="20"/>
        </w:rPr>
        <w:tab/>
        <w:t xml:space="preserve">Ram, Y. &amp; Hadany, L. 2012 The evolution of stress-induced hypermutation in asexual populations.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66</w:t>
      </w:r>
      <w:r w:rsidRPr="00FB219C">
        <w:rPr>
          <w:rFonts w:ascii="cmr10" w:hAnsi="cmr10"/>
          <w:noProof/>
          <w:sz w:val="20"/>
        </w:rPr>
        <w:t>, 2315–28. (doi:10.1111/j.1558-5646.2012.01576.x)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7 </w:t>
      </w:r>
      <w:r w:rsidRPr="00FB219C">
        <w:rPr>
          <w:rFonts w:ascii="cmr10" w:hAnsi="cmr10"/>
          <w:noProof/>
          <w:sz w:val="20"/>
        </w:rPr>
        <w:tab/>
        <w:t xml:space="preserve">Kibota, T. T. &amp; Lynch, M. 1996 Estimate of the genomic mutation rate deleterious to overall fitness in E. coli.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381</w:t>
      </w:r>
      <w:r w:rsidRPr="00FB219C">
        <w:rPr>
          <w:rFonts w:ascii="cmr10" w:hAnsi="cmr10"/>
          <w:noProof/>
          <w:sz w:val="20"/>
        </w:rPr>
        <w:t>, 694–6. (doi:10.1038/381694a0)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8 </w:t>
      </w:r>
      <w:r w:rsidRPr="00FB219C">
        <w:rPr>
          <w:rFonts w:ascii="cmr10" w:hAnsi="cmr10"/>
          <w:noProof/>
          <w:sz w:val="20"/>
        </w:rPr>
        <w:tab/>
        <w:t xml:space="preserve">Gordo, I., Perfeito, L. &amp; Sousa, A. 2011 Fitness effects of mutations in bacteria. </w:t>
      </w:r>
      <w:r w:rsidRPr="00FB219C">
        <w:rPr>
          <w:rFonts w:ascii="cmr10" w:hAnsi="cmr10"/>
          <w:i/>
          <w:iCs/>
          <w:noProof/>
          <w:sz w:val="20"/>
        </w:rPr>
        <w:t>J. Mol. Microbiol. Biotechnol.</w:t>
      </w:r>
      <w:r w:rsidRPr="00FB219C">
        <w:rPr>
          <w:rFonts w:ascii="cmr10" w:hAnsi="cmr10"/>
          <w:noProof/>
          <w:sz w:val="20"/>
        </w:rPr>
        <w:t xml:space="preserve"> </w:t>
      </w:r>
      <w:r w:rsidRPr="00FB219C">
        <w:rPr>
          <w:rFonts w:ascii="cmr10" w:hAnsi="cmr10"/>
          <w:b/>
          <w:bCs/>
          <w:noProof/>
          <w:sz w:val="20"/>
        </w:rPr>
        <w:t>21</w:t>
      </w:r>
      <w:r w:rsidRPr="00FB219C">
        <w:rPr>
          <w:rFonts w:ascii="cmr10" w:hAnsi="cmr10"/>
          <w:noProof/>
          <w:sz w:val="20"/>
        </w:rPr>
        <w:t>, 20–35. (doi:10.1159/000332747)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9 </w:t>
      </w:r>
      <w:r w:rsidRPr="00FB219C">
        <w:rPr>
          <w:rFonts w:ascii="cmr10" w:hAnsi="cmr10"/>
          <w:noProof/>
          <w:sz w:val="20"/>
        </w:rPr>
        <w:tab/>
        <w:t xml:space="preserve">Drake, J. W., Charlesworth, B., Charlesworth, D. &amp; Crow, J. F. 1998 Rates of spontaneous mutation. </w:t>
      </w:r>
      <w:r w:rsidRPr="00FB219C">
        <w:rPr>
          <w:rFonts w:ascii="cmr10" w:hAnsi="cmr10"/>
          <w:i/>
          <w:iCs/>
          <w:noProof/>
          <w:sz w:val="20"/>
        </w:rPr>
        <w:t>Genetics.</w:t>
      </w:r>
      <w:r w:rsidRPr="00FB219C">
        <w:rPr>
          <w:rFonts w:ascii="cmr10" w:hAnsi="cmr10"/>
          <w:noProof/>
          <w:sz w:val="20"/>
        </w:rPr>
        <w:t xml:space="preserve"> </w:t>
      </w:r>
      <w:r w:rsidRPr="00FB219C">
        <w:rPr>
          <w:rFonts w:ascii="cmr10" w:hAnsi="cmr10"/>
          <w:b/>
          <w:bCs/>
          <w:noProof/>
          <w:sz w:val="20"/>
        </w:rPr>
        <w:t>148</w:t>
      </w:r>
      <w:r w:rsidRPr="00FB219C">
        <w:rPr>
          <w:rFonts w:ascii="cmr10" w:hAnsi="cmr10"/>
          <w:noProof/>
          <w:sz w:val="20"/>
        </w:rPr>
        <w:t xml:space="preserve">, 1667–86. </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10 </w:t>
      </w:r>
      <w:r w:rsidRPr="00FB219C">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FB219C">
        <w:rPr>
          <w:rFonts w:ascii="cmr10" w:hAnsi="cmr10"/>
          <w:i/>
          <w:iCs/>
          <w:noProof/>
          <w:sz w:val="20"/>
        </w:rPr>
        <w:t>G3: Genes, Genomes, Genetics</w:t>
      </w:r>
      <w:r w:rsidRPr="00FB219C">
        <w:rPr>
          <w:rFonts w:ascii="cmr10" w:hAnsi="cmr10"/>
          <w:noProof/>
          <w:sz w:val="20"/>
        </w:rPr>
        <w:t xml:space="preserve"> </w:t>
      </w:r>
      <w:r w:rsidRPr="00FB219C">
        <w:rPr>
          <w:rFonts w:ascii="cmr10" w:hAnsi="cmr10"/>
          <w:b/>
          <w:bCs/>
          <w:noProof/>
          <w:sz w:val="20"/>
        </w:rPr>
        <w:t>1</w:t>
      </w:r>
      <w:r w:rsidRPr="00FB219C">
        <w:rPr>
          <w:rFonts w:ascii="cmr10" w:hAnsi="cmr10"/>
          <w:noProof/>
          <w:sz w:val="20"/>
        </w:rPr>
        <w:t>, 183. (doi:10.1534/g3.111.000406)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11 </w:t>
      </w:r>
      <w:r w:rsidRPr="00FB219C">
        <w:rPr>
          <w:rFonts w:ascii="cmr10" w:hAnsi="cmr10"/>
          <w:noProof/>
          <w:sz w:val="20"/>
        </w:rPr>
        <w:tab/>
        <w:t xml:space="preserve">Bjedov, I., Tenaillon, O., Gérard, B., Souza, V., Denamur, E., Radman, M., Taddei, F. &amp; Matic, I. 2003 Stress-induced mutagenesis in bacteria.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300</w:t>
      </w:r>
      <w:r w:rsidRPr="00FB219C">
        <w:rPr>
          <w:rFonts w:ascii="cmr10" w:hAnsi="cmr10"/>
          <w:noProof/>
          <w:sz w:val="20"/>
        </w:rPr>
        <w:t>, 1404–9. (doi:10.1126/science.1082240)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12 </w:t>
      </w:r>
      <w:r w:rsidRPr="00FB219C">
        <w:rPr>
          <w:rFonts w:ascii="cmr10" w:hAnsi="cmr10"/>
          <w:noProof/>
          <w:sz w:val="20"/>
        </w:rPr>
        <w:tab/>
        <w:t xml:space="preserve">Hall, L. M. C. &amp; Henderson-Begg, S. K. 2006 Hypermutable bacteria isolated from humans--a critical analysis. </w:t>
      </w:r>
      <w:r w:rsidRPr="00FB219C">
        <w:rPr>
          <w:rFonts w:ascii="cmr10" w:hAnsi="cmr10"/>
          <w:i/>
          <w:iCs/>
          <w:noProof/>
          <w:sz w:val="20"/>
        </w:rPr>
        <w:t>Microbiology</w:t>
      </w:r>
      <w:r w:rsidRPr="00FB219C">
        <w:rPr>
          <w:rFonts w:ascii="cmr10" w:hAnsi="cmr10"/>
          <w:noProof/>
          <w:sz w:val="20"/>
        </w:rPr>
        <w:t xml:space="preserve"> </w:t>
      </w:r>
      <w:r w:rsidRPr="00FB219C">
        <w:rPr>
          <w:rFonts w:ascii="cmr10" w:hAnsi="cmr10"/>
          <w:b/>
          <w:bCs/>
          <w:noProof/>
          <w:sz w:val="20"/>
        </w:rPr>
        <w:t>152</w:t>
      </w:r>
      <w:r w:rsidRPr="00FB219C">
        <w:rPr>
          <w:rFonts w:ascii="cmr10" w:hAnsi="cmr10"/>
          <w:noProof/>
          <w:sz w:val="20"/>
        </w:rPr>
        <w:t>, 2505–14. (doi:10.1099/mic.0.29079-0)</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13 </w:t>
      </w:r>
      <w:r w:rsidRPr="00FB219C">
        <w:rPr>
          <w:rFonts w:ascii="cmr10" w:hAnsi="cmr10"/>
          <w:noProof/>
          <w:sz w:val="20"/>
        </w:rPr>
        <w:tab/>
        <w:t xml:space="preserve">Eshel, I. 1981 On the survival probability of a slightly advantageous mutant gene with a general distribution of progeny size - a branching process model. </w:t>
      </w:r>
      <w:r w:rsidRPr="00FB219C">
        <w:rPr>
          <w:rFonts w:ascii="cmr10" w:hAnsi="cmr10"/>
          <w:i/>
          <w:iCs/>
          <w:noProof/>
          <w:sz w:val="20"/>
        </w:rPr>
        <w:t>Journal of Mathematical Biology</w:t>
      </w:r>
      <w:r w:rsidRPr="00FB219C">
        <w:rPr>
          <w:rFonts w:ascii="cmr10" w:hAnsi="cmr10"/>
          <w:noProof/>
          <w:sz w:val="20"/>
        </w:rPr>
        <w:t xml:space="preserve"> </w:t>
      </w:r>
      <w:r w:rsidRPr="00FB219C">
        <w:rPr>
          <w:rFonts w:ascii="cmr10" w:hAnsi="cmr10"/>
          <w:b/>
          <w:bCs/>
          <w:noProof/>
          <w:sz w:val="20"/>
        </w:rPr>
        <w:t>12</w:t>
      </w:r>
      <w:r w:rsidRPr="00FB219C">
        <w:rPr>
          <w:rFonts w:ascii="cmr10" w:hAnsi="cmr10"/>
          <w:noProof/>
          <w:sz w:val="20"/>
        </w:rPr>
        <w:t>, 355–362. (doi:10.1007/BF00276922)</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14 </w:t>
      </w:r>
      <w:r w:rsidRPr="00FB219C">
        <w:rPr>
          <w:rFonts w:ascii="cmr10" w:hAnsi="cmr10"/>
          <w:noProof/>
          <w:sz w:val="20"/>
        </w:rPr>
        <w:tab/>
        <w:t xml:space="preserve">Taddei, F., Radman, M., Maynard Smith, J., Toupance, B., Gouyon, P.-H. &amp; Godelle, B. 1997 Role of mutator alleles in adaptive evolution. </w:t>
      </w:r>
      <w:r w:rsidRPr="00FB219C">
        <w:rPr>
          <w:rFonts w:ascii="cmr10" w:hAnsi="cmr10"/>
          <w:i/>
          <w:iCs/>
          <w:noProof/>
          <w:sz w:val="20"/>
        </w:rPr>
        <w:t>Nature.</w:t>
      </w:r>
      <w:r w:rsidRPr="00FB219C">
        <w:rPr>
          <w:rFonts w:ascii="cmr10" w:hAnsi="cmr10"/>
          <w:noProof/>
          <w:sz w:val="20"/>
        </w:rPr>
        <w:t xml:space="preserve"> </w:t>
      </w:r>
      <w:r w:rsidRPr="00FB219C">
        <w:rPr>
          <w:rFonts w:ascii="cmr10" w:hAnsi="cmr10"/>
          <w:b/>
          <w:bCs/>
          <w:noProof/>
          <w:sz w:val="20"/>
        </w:rPr>
        <w:t>387</w:t>
      </w:r>
      <w:r w:rsidRPr="00FB219C">
        <w:rPr>
          <w:rFonts w:ascii="cmr10" w:hAnsi="cmr10"/>
          <w:noProof/>
          <w:sz w:val="20"/>
        </w:rPr>
        <w:t>, 700–2. (doi:10.1038/42696)</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15 </w:t>
      </w:r>
      <w:r w:rsidRPr="00FB219C">
        <w:rPr>
          <w:rFonts w:ascii="cmr10" w:hAnsi="cmr10"/>
          <w:noProof/>
          <w:sz w:val="20"/>
        </w:rPr>
        <w:tab/>
        <w:t xml:space="preserve">Cirz, R. T. &amp; Romesberg, F. E. 2007 Controlling mutation: intervening in evolution as a therapeutic strategy. </w:t>
      </w:r>
      <w:r w:rsidRPr="00FB219C">
        <w:rPr>
          <w:rFonts w:ascii="cmr10" w:hAnsi="cmr10"/>
          <w:i/>
          <w:iCs/>
          <w:noProof/>
          <w:sz w:val="20"/>
        </w:rPr>
        <w:t>Crit. Rev. Biochem. Mol. Biol.</w:t>
      </w:r>
      <w:r w:rsidRPr="00FB219C">
        <w:rPr>
          <w:rFonts w:ascii="cmr10" w:hAnsi="cmr10"/>
          <w:noProof/>
          <w:sz w:val="20"/>
        </w:rPr>
        <w:t xml:space="preserve"> </w:t>
      </w:r>
      <w:r w:rsidRPr="00FB219C">
        <w:rPr>
          <w:rFonts w:ascii="cmr10" w:hAnsi="cmr10"/>
          <w:b/>
          <w:bCs/>
          <w:noProof/>
          <w:sz w:val="20"/>
        </w:rPr>
        <w:t>42</w:t>
      </w:r>
      <w:r w:rsidRPr="00FB219C">
        <w:rPr>
          <w:rFonts w:ascii="cmr10" w:hAnsi="cmr10"/>
          <w:noProof/>
          <w:sz w:val="20"/>
        </w:rPr>
        <w:t>, 341–54. (doi:10.1080/10409230701597741)</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16 </w:t>
      </w:r>
      <w:r w:rsidRPr="00FB219C">
        <w:rPr>
          <w:rFonts w:ascii="cmr10" w:hAnsi="cmr10"/>
          <w:noProof/>
          <w:sz w:val="20"/>
        </w:rPr>
        <w:tab/>
        <w:t xml:space="preserve">Wright, S. 1988 Surfaces of selective value revisited. </w:t>
      </w:r>
      <w:r w:rsidRPr="00FB219C">
        <w:rPr>
          <w:rFonts w:ascii="cmr10" w:hAnsi="cmr10"/>
          <w:i/>
          <w:iCs/>
          <w:noProof/>
          <w:sz w:val="20"/>
        </w:rPr>
        <w:t>American Naturalist</w:t>
      </w:r>
      <w:r w:rsidRPr="00FB219C">
        <w:rPr>
          <w:rFonts w:ascii="cmr10" w:hAnsi="cmr10"/>
          <w:noProof/>
          <w:sz w:val="20"/>
        </w:rPr>
        <w:t xml:space="preserve"> </w:t>
      </w:r>
      <w:r w:rsidRPr="00FB219C">
        <w:rPr>
          <w:rFonts w:ascii="cmr10" w:hAnsi="cmr10"/>
          <w:b/>
          <w:bCs/>
          <w:noProof/>
          <w:sz w:val="20"/>
        </w:rPr>
        <w:t>131</w:t>
      </w:r>
      <w:r w:rsidRPr="00FB219C">
        <w:rPr>
          <w:rFonts w:ascii="cmr10" w:hAnsi="cmr10"/>
          <w:noProof/>
          <w:sz w:val="20"/>
        </w:rPr>
        <w:t>, 115–123. (doi:10.1086/284777)</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17 </w:t>
      </w:r>
      <w:r w:rsidRPr="00FB219C">
        <w:rPr>
          <w:rFonts w:ascii="cmr10" w:hAnsi="cmr10"/>
          <w:noProof/>
          <w:sz w:val="20"/>
        </w:rPr>
        <w:tab/>
        <w:t xml:space="preserve">Crow, J. F., Engels, W. R. &amp; Denniston, C. 1990 Phase Three of Wright’s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44</w:t>
      </w:r>
      <w:r w:rsidRPr="00FB219C">
        <w:rPr>
          <w:rFonts w:ascii="cmr10" w:hAnsi="cmr10"/>
          <w:noProof/>
          <w:sz w:val="20"/>
        </w:rPr>
        <w:t>, 233. (doi:10.2307/2409403)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18 </w:t>
      </w:r>
      <w:r w:rsidRPr="00FB219C">
        <w:rPr>
          <w:rFonts w:ascii="cmr10" w:hAnsi="cmr10"/>
          <w:noProof/>
          <w:sz w:val="20"/>
        </w:rPr>
        <w:tab/>
        <w:t xml:space="preserve">Wade, M. &amp; Goodnight, C. 1991 Wright’s shifting balance theory: an experimental study. </w:t>
      </w:r>
      <w:r w:rsidRPr="00FB219C">
        <w:rPr>
          <w:rFonts w:ascii="cmr10" w:hAnsi="cmr10"/>
          <w:i/>
          <w:iCs/>
          <w:noProof/>
          <w:sz w:val="20"/>
        </w:rPr>
        <w:t>Science (80-. ).</w:t>
      </w:r>
      <w:r w:rsidRPr="00FB219C">
        <w:rPr>
          <w:rFonts w:ascii="cmr10" w:hAnsi="cmr10"/>
          <w:noProof/>
          <w:sz w:val="20"/>
        </w:rPr>
        <w:t xml:space="preserve"> </w:t>
      </w:r>
      <w:r w:rsidRPr="00FB219C">
        <w:rPr>
          <w:rFonts w:ascii="cmr10" w:hAnsi="cmr10"/>
          <w:b/>
          <w:bCs/>
          <w:noProof/>
          <w:sz w:val="20"/>
        </w:rPr>
        <w:t>253</w:t>
      </w:r>
      <w:r w:rsidRPr="00FB219C">
        <w:rPr>
          <w:rFonts w:ascii="cmr10" w:hAnsi="cmr10"/>
          <w:noProof/>
          <w:sz w:val="20"/>
        </w:rPr>
        <w:t>, 1015–1018. (doi:10.1126/science.1887214)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19 </w:t>
      </w:r>
      <w:r w:rsidRPr="00FB219C">
        <w:rPr>
          <w:rFonts w:ascii="cmr10" w:hAnsi="cmr10"/>
          <w:noProof/>
          <w:sz w:val="20"/>
        </w:rPr>
        <w:tab/>
        <w:t xml:space="preserve">Peck, S. L., Ellner, S. P. &amp; Gould, F. 2000 Varying migration and deme size and the feasibility of the shifting balance.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324–7. (doi:10.1111/j.0014-3820.2000.tb00035.x)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20 </w:t>
      </w:r>
      <w:r w:rsidRPr="00FB219C">
        <w:rPr>
          <w:rFonts w:ascii="cmr10" w:hAnsi="cmr10"/>
          <w:noProof/>
          <w:sz w:val="20"/>
        </w:rPr>
        <w:tab/>
        <w:t xml:space="preserve">Moore, F. B.-G. &amp; Tonsor, S. J. 1994 A Simulation of Wright’s Shifting-Balance Process: Migration and the Three Phases.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48</w:t>
      </w:r>
      <w:r w:rsidRPr="00FB219C">
        <w:rPr>
          <w:rFonts w:ascii="cmr10" w:hAnsi="cmr10"/>
          <w:noProof/>
          <w:sz w:val="20"/>
        </w:rPr>
        <w:t>, 69. (doi:10.2307/2410004)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21 </w:t>
      </w:r>
      <w:r w:rsidRPr="00FB219C">
        <w:rPr>
          <w:rFonts w:ascii="cmr10" w:hAnsi="cmr10"/>
          <w:noProof/>
          <w:sz w:val="20"/>
        </w:rPr>
        <w:tab/>
        <w:t xml:space="preserve">Gavrilets, S. 1996 On phase three of the shifting-balance theory.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50</w:t>
      </w:r>
      <w:r w:rsidRPr="00FB219C">
        <w:rPr>
          <w:rFonts w:ascii="cmr10" w:hAnsi="cmr10"/>
          <w:noProof/>
          <w:sz w:val="20"/>
        </w:rPr>
        <w:t>, 1034–1041. (doi:10.2307/2410644)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22 </w:t>
      </w:r>
      <w:r w:rsidRPr="00FB219C">
        <w:rPr>
          <w:rFonts w:ascii="cmr10" w:hAnsi="cmr10"/>
          <w:noProof/>
          <w:sz w:val="20"/>
        </w:rPr>
        <w:tab/>
        <w:t xml:space="preserve">Coyne, J. A., Barton, N. H. &amp; Turelli, M. 2000 Is Wright’s shifting balance process important in evolution?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54</w:t>
      </w:r>
      <w:r w:rsidRPr="00FB219C">
        <w:rPr>
          <w:rFonts w:ascii="cmr10" w:hAnsi="cmr10"/>
          <w:noProof/>
          <w:sz w:val="20"/>
        </w:rPr>
        <w:t>, 306–317. (doi:10.1111/j.0014-3820.2000.tb00033.x)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23 </w:t>
      </w:r>
      <w:r w:rsidRPr="00FB219C">
        <w:rPr>
          <w:rFonts w:ascii="cmr10" w:hAnsi="cmr10"/>
          <w:noProof/>
          <w:sz w:val="20"/>
        </w:rPr>
        <w:tab/>
        <w:t xml:space="preserve">Whitlock, M. C. &amp; Phillips, P. C. 2000 The exquisite corpse: a shifting view of the shifting balance. </w:t>
      </w:r>
      <w:r w:rsidRPr="00FB219C">
        <w:rPr>
          <w:rFonts w:ascii="cmr10" w:hAnsi="cmr10"/>
          <w:i/>
          <w:iCs/>
          <w:noProof/>
          <w:sz w:val="20"/>
        </w:rPr>
        <w:t>Trends in Ecology &amp; Evolution</w:t>
      </w:r>
      <w:r w:rsidRPr="00FB219C">
        <w:rPr>
          <w:rFonts w:ascii="cmr10" w:hAnsi="cmr10"/>
          <w:noProof/>
          <w:sz w:val="20"/>
        </w:rPr>
        <w:t xml:space="preserve"> </w:t>
      </w:r>
      <w:r w:rsidRPr="00FB219C">
        <w:rPr>
          <w:rFonts w:ascii="cmr10" w:hAnsi="cmr10"/>
          <w:b/>
          <w:bCs/>
          <w:noProof/>
          <w:sz w:val="20"/>
        </w:rPr>
        <w:t>15</w:t>
      </w:r>
      <w:r w:rsidRPr="00FB219C">
        <w:rPr>
          <w:rFonts w:ascii="cmr10" w:hAnsi="cmr10"/>
          <w:noProof/>
          <w:sz w:val="20"/>
        </w:rPr>
        <w:t>, 347–348. (doi:10.1016/S0169-5347(00)01930-3)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24 </w:t>
      </w:r>
      <w:r w:rsidRPr="00FB219C">
        <w:rPr>
          <w:rFonts w:ascii="cmr10" w:hAnsi="cmr10"/>
          <w:noProof/>
          <w:sz w:val="20"/>
        </w:rPr>
        <w:tab/>
        <w:t xml:space="preserve">Whitlock, M. C. 1995 Variance-Induced Peak Shifts.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49</w:t>
      </w:r>
      <w:r w:rsidRPr="00FB219C">
        <w:rPr>
          <w:rFonts w:ascii="cmr10" w:hAnsi="cmr10"/>
          <w:noProof/>
          <w:sz w:val="20"/>
        </w:rPr>
        <w:t>, 252. (doi:10.2307/2410335)</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25 </w:t>
      </w:r>
      <w:r w:rsidRPr="00FB219C">
        <w:rPr>
          <w:rFonts w:ascii="cmr10" w:hAnsi="cmr10"/>
          <w:noProof/>
          <w:sz w:val="20"/>
        </w:rPr>
        <w:tab/>
        <w:t xml:space="preserve">Whitlock, M. C. 1997 Founder Effects and Peak Shifts Without Genetic Drift: Adaptive Peak Shifts Occur Easily When Environments Fluctuate Slightly. </w:t>
      </w:r>
      <w:r w:rsidRPr="00FB219C">
        <w:rPr>
          <w:rFonts w:ascii="cmr10" w:hAnsi="cmr10"/>
          <w:i/>
          <w:iCs/>
          <w:noProof/>
          <w:sz w:val="20"/>
        </w:rPr>
        <w:t>Evolution</w:t>
      </w:r>
      <w:r w:rsidRPr="00FB219C">
        <w:rPr>
          <w:rFonts w:ascii="cmr10" w:hAnsi="cmr10"/>
          <w:noProof/>
          <w:sz w:val="20"/>
        </w:rPr>
        <w:t xml:space="preserve"> </w:t>
      </w:r>
      <w:r w:rsidRPr="00FB219C">
        <w:rPr>
          <w:rFonts w:ascii="cmr10" w:hAnsi="cmr10"/>
          <w:b/>
          <w:bCs/>
          <w:noProof/>
          <w:sz w:val="20"/>
        </w:rPr>
        <w:t>51</w:t>
      </w:r>
      <w:r w:rsidRPr="00FB219C">
        <w:rPr>
          <w:rFonts w:ascii="cmr10" w:hAnsi="cmr10"/>
          <w:noProof/>
          <w:sz w:val="20"/>
        </w:rPr>
        <w:t>, 1044. (doi:10.2307/2411033)</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26 </w:t>
      </w:r>
      <w:r w:rsidRPr="00FB219C">
        <w:rPr>
          <w:rFonts w:ascii="cmr10" w:hAnsi="cmr10"/>
          <w:noProof/>
          <w:sz w:val="20"/>
        </w:rPr>
        <w:tab/>
        <w:t xml:space="preserve">Hadany, L. 2003 Adaptive peak shifts in a heterogenous environment. </w:t>
      </w:r>
      <w:r w:rsidRPr="00FB219C">
        <w:rPr>
          <w:rFonts w:ascii="cmr10" w:hAnsi="cmr10"/>
          <w:i/>
          <w:iCs/>
          <w:noProof/>
          <w:sz w:val="20"/>
        </w:rPr>
        <w:t>Theoretical Population Biology</w:t>
      </w:r>
      <w:r w:rsidRPr="00FB219C">
        <w:rPr>
          <w:rFonts w:ascii="cmr10" w:hAnsi="cmr10"/>
          <w:noProof/>
          <w:sz w:val="20"/>
        </w:rPr>
        <w:t xml:space="preserve"> </w:t>
      </w:r>
      <w:r w:rsidRPr="00FB219C">
        <w:rPr>
          <w:rFonts w:ascii="cmr10" w:hAnsi="cmr10"/>
          <w:b/>
          <w:bCs/>
          <w:noProof/>
          <w:sz w:val="20"/>
        </w:rPr>
        <w:t>63</w:t>
      </w:r>
      <w:r w:rsidRPr="00FB219C">
        <w:rPr>
          <w:rFonts w:ascii="cmr10" w:hAnsi="cmr10"/>
          <w:noProof/>
          <w:sz w:val="20"/>
        </w:rPr>
        <w:t>, 41–51. (doi:10.1016/S0040-5809(02)00011-4)</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lastRenderedPageBreak/>
        <w:t xml:space="preserve">27 </w:t>
      </w:r>
      <w:r w:rsidRPr="00FB219C">
        <w:rPr>
          <w:rFonts w:ascii="cmr10" w:hAnsi="cmr10"/>
          <w:noProof/>
          <w:sz w:val="20"/>
        </w:rPr>
        <w:tab/>
        <w:t xml:space="preserve">Hadany, L. &amp; Beker, T. 2003 Fitness-associated recombination on rugged adaptive landscapes. </w:t>
      </w:r>
      <w:r w:rsidRPr="00FB219C">
        <w:rPr>
          <w:rFonts w:ascii="cmr10" w:hAnsi="cmr10"/>
          <w:i/>
          <w:iCs/>
          <w:noProof/>
          <w:sz w:val="20"/>
        </w:rPr>
        <w:t>Journal of Evolutionary Biology</w:t>
      </w:r>
      <w:r w:rsidRPr="00FB219C">
        <w:rPr>
          <w:rFonts w:ascii="cmr10" w:hAnsi="cmr10"/>
          <w:noProof/>
          <w:sz w:val="20"/>
        </w:rPr>
        <w:t xml:space="preserve"> </w:t>
      </w:r>
      <w:r w:rsidRPr="00FB219C">
        <w:rPr>
          <w:rFonts w:ascii="cmr10" w:hAnsi="cmr10"/>
          <w:b/>
          <w:bCs/>
          <w:noProof/>
          <w:sz w:val="20"/>
        </w:rPr>
        <w:t>16</w:t>
      </w:r>
      <w:r w:rsidRPr="00FB219C">
        <w:rPr>
          <w:rFonts w:ascii="cmr10" w:hAnsi="cmr10"/>
          <w:noProof/>
          <w:sz w:val="20"/>
        </w:rPr>
        <w:t>, 862–870. (doi:10.1046/j.1420-9101.2003.00586.x)</w:t>
      </w:r>
    </w:p>
    <w:p w:rsidR="00FB219C" w:rsidRPr="00FB219C" w:rsidRDefault="00FB219C">
      <w:pPr>
        <w:pStyle w:val="NormalWeb"/>
        <w:ind w:left="640" w:hanging="640"/>
        <w:divId w:val="1346244422"/>
        <w:rPr>
          <w:rFonts w:ascii="cmr10" w:hAnsi="cmr10"/>
          <w:noProof/>
          <w:sz w:val="20"/>
        </w:rPr>
      </w:pPr>
      <w:r w:rsidRPr="00FB219C">
        <w:rPr>
          <w:rFonts w:ascii="cmr10" w:hAnsi="cmr10"/>
          <w:noProof/>
          <w:sz w:val="20"/>
        </w:rPr>
        <w:t xml:space="preserve">28 </w:t>
      </w:r>
      <w:r w:rsidRPr="00FB219C">
        <w:rPr>
          <w:rFonts w:ascii="cmr10" w:hAnsi="cmr10"/>
          <w:noProof/>
          <w:sz w:val="20"/>
        </w:rPr>
        <w:tab/>
        <w:t xml:space="preserve">Weissman, D. B., Desai, M. M., Fisher, D. S. &amp; Feldman, M. W. 2009 The rate at which asexual populations cross fitness valleys. </w:t>
      </w:r>
      <w:r w:rsidRPr="00FB219C">
        <w:rPr>
          <w:rFonts w:ascii="cmr10" w:hAnsi="cmr10"/>
          <w:i/>
          <w:iCs/>
          <w:noProof/>
          <w:sz w:val="20"/>
        </w:rPr>
        <w:t>Theor. Popul. Biol.</w:t>
      </w:r>
      <w:r w:rsidRPr="00FB219C">
        <w:rPr>
          <w:rFonts w:ascii="cmr10" w:hAnsi="cmr10"/>
          <w:noProof/>
          <w:sz w:val="20"/>
        </w:rPr>
        <w:t xml:space="preserve"> </w:t>
      </w:r>
      <w:r w:rsidRPr="00FB219C">
        <w:rPr>
          <w:rFonts w:ascii="cmr10" w:hAnsi="cmr10"/>
          <w:b/>
          <w:bCs/>
          <w:noProof/>
          <w:sz w:val="20"/>
        </w:rPr>
        <w:t>75</w:t>
      </w:r>
      <w:r w:rsidRPr="00FB219C">
        <w:rPr>
          <w:rFonts w:ascii="cmr10" w:hAnsi="cmr10"/>
          <w:noProof/>
          <w:sz w:val="20"/>
        </w:rPr>
        <w:t xml:space="preserve">, 286–300. (doi:10.1016/j.tpb.2009.02.006) </w:t>
      </w:r>
    </w:p>
    <w:p w:rsidR="003277CF" w:rsidRDefault="00127E33" w:rsidP="00FB219C">
      <w:pPr>
        <w:pStyle w:val="NormalWeb"/>
        <w:ind w:left="640" w:hanging="640"/>
        <w:divId w:val="1491209390"/>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w:t>
      </w:r>
      <w:r>
        <w:rPr>
          <w:lang w:val="en-US"/>
        </w:rPr>
        <w:lastRenderedPageBreak/>
        <w:t xml:space="preserve">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3"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4"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4"/>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082550"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082550"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5"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5"/>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082550"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082550"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082550"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lastRenderedPageBreak/>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082550"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6"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6"/>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7" w:name="_Ref354319797"/>
      <w:r>
        <w:rPr>
          <w:lang w:val="en-US"/>
        </w:rPr>
        <w:t>Fixation probability with stress-induced mutation</w:t>
      </w:r>
      <w:bookmarkEnd w:id="17"/>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8"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8"/>
          </w:p>
        </w:tc>
      </w:tr>
    </w:tbl>
    <w:p w:rsidR="00BB678E" w:rsidRDefault="00BB678E" w:rsidP="00BB678E">
      <w:pPr>
        <w:ind w:firstLine="0"/>
        <w:rPr>
          <w:lang w:val="en-US"/>
        </w:rPr>
      </w:pPr>
      <w:proofErr w:type="gramStart"/>
      <w:r>
        <w:rPr>
          <w:lang w:val="en-US"/>
        </w:rPr>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9"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9"/>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20"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20"/>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1"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1"/>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fitness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082550"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082550"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2"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2"/>
          </w:p>
        </w:tc>
      </w:tr>
    </w:tbl>
    <w:p w:rsidR="00BB678E" w:rsidRDefault="00BB678E" w:rsidP="00BB678E">
      <w:pPr>
        <w:pStyle w:val="Firstparagraph"/>
        <w:rPr>
          <w:lang w:val="en-US"/>
        </w:rPr>
      </w:pPr>
    </w:p>
    <w:p w:rsidR="0042273F" w:rsidRDefault="0042273F" w:rsidP="0042273F">
      <w:pPr>
        <w:ind w:firstLine="0"/>
        <w:rPr>
          <w:lang w:val="en-US"/>
        </w:rPr>
      </w:pPr>
      <w:r>
        <w:rPr>
          <w:lang w:val="en-US"/>
        </w:rPr>
        <w:t>This fixation probability can be further simplified by first-order approximations:</w:t>
      </w:r>
    </w:p>
    <w:p w:rsidR="0042273F" w:rsidRPr="001639B1" w:rsidRDefault="00082550"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082550"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3"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3"/>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w:lastRenderedPageBreak/>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4"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082550"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5"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5"/>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6"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6"/>
          </w:p>
        </w:tc>
      </w:tr>
    </w:tbl>
    <w:p w:rsidR="0042273F" w:rsidRDefault="0042273F" w:rsidP="0042273F">
      <w:pPr>
        <w:pStyle w:val="Firstparagraph"/>
        <w:rPr>
          <w:lang w:val="en-US"/>
        </w:rPr>
      </w:pPr>
      <w:r>
        <w:rPr>
          <w:lang w:val="en-US"/>
        </w:rPr>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2"/>
      <w:footerReference w:type="even" r:id="rId13"/>
      <w:footerReference w:type="default" r:id="rId14"/>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C0E" w:rsidRDefault="00370C0E">
      <w:pPr>
        <w:spacing w:line="240" w:lineRule="auto"/>
      </w:pPr>
      <w:r>
        <w:separator/>
      </w:r>
    </w:p>
  </w:endnote>
  <w:endnote w:type="continuationSeparator" w:id="0">
    <w:p w:rsidR="00370C0E" w:rsidRDefault="00370C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4191BDC9-CB4F-4A44-BDCC-5BB67D3DE363}"/>
  </w:font>
  <w:font w:name="Times New Roman">
    <w:panose1 w:val="02020603050405020304"/>
    <w:charset w:val="00"/>
    <w:family w:val="roman"/>
    <w:pitch w:val="variable"/>
    <w:sig w:usb0="E0002AFF" w:usb1="C0007841" w:usb2="00000009" w:usb3="00000000" w:csb0="000001FF" w:csb1="00000000"/>
    <w:embedRegular r:id="rId2" w:fontKey="{49F5BA85-D65D-4FC5-AD86-A2D52E9A9E8E}"/>
    <w:embedBold r:id="rId3" w:fontKey="{8DE3C075-1C97-4115-A275-65AA75313871}"/>
    <w:embedItalic r:id="rId4" w:fontKey="{8DFD1175-23E3-4044-AFE6-F01D34FEDE03}"/>
    <w:embedBoldItalic r:id="rId5" w:fontKey="{E514A84A-191F-481D-A1D5-1C5BB8BE2B8C}"/>
  </w:font>
  <w:font w:name="cmr10">
    <w:panose1 w:val="020B0500000000000000"/>
    <w:charset w:val="00"/>
    <w:family w:val="swiss"/>
    <w:pitch w:val="variable"/>
    <w:sig w:usb0="00000003" w:usb1="00000000" w:usb2="00000000" w:usb3="00000000" w:csb0="00000001" w:csb1="00000000"/>
    <w:embedRegular r:id="rId6" w:fontKey="{F3DCE57E-9ACC-4977-86DC-799466743775}"/>
    <w:embedBold r:id="rId7" w:fontKey="{95126CB2-1ECC-4F07-B1D7-262F965A464F}"/>
    <w:embedItalic r:id="rId8" w:fontKey="{28F3A0F7-D64B-4C6B-BA0A-E2B3F7C31E2E}"/>
    <w:embedBoldItalic r:id="rId9" w:fontKey="{01CE1773-AEBE-4FF9-958C-6CBA622EC27E}"/>
  </w:font>
  <w:font w:name="cmbx12">
    <w:panose1 w:val="020B0500000000000000"/>
    <w:charset w:val="00"/>
    <w:family w:val="swiss"/>
    <w:pitch w:val="variable"/>
    <w:sig w:usb0="00000003" w:usb1="00000000" w:usb2="00000000" w:usb3="00000000" w:csb0="00000001" w:csb1="00000000"/>
    <w:embedRegular r:id="rId10" w:fontKey="{60DE9A9E-E757-4479-8F0E-8E14CD7260A5}"/>
  </w:font>
  <w:font w:name="Arial">
    <w:panose1 w:val="020B0604020202020204"/>
    <w:charset w:val="00"/>
    <w:family w:val="swiss"/>
    <w:pitch w:val="variable"/>
    <w:sig w:usb0="E0002AFF" w:usb1="C0007843" w:usb2="00000009" w:usb3="00000000" w:csb0="000001FF" w:csb1="00000000"/>
    <w:embedRegular r:id="rId11" w:fontKey="{838D9817-2B11-4055-B4B3-B708B59137A7}"/>
    <w:embedBold r:id="rId12" w:fontKey="{34F0BD09-2C1E-41AE-98EF-DE894250E38F}"/>
    <w:embedItalic r:id="rId13" w:fontKey="{23D84AD3-681A-46E4-A4EF-B7CBB7431677}"/>
    <w:embedBoldItalic r:id="rId14" w:fontKey="{D1D1D11F-8542-4326-8E4C-7F1296527274}"/>
  </w:font>
  <w:font w:name="cmbx10">
    <w:altName w:val="Vrinda"/>
    <w:charset w:val="00"/>
    <w:family w:val="swiss"/>
    <w:pitch w:val="variable"/>
    <w:sig w:usb0="00000003" w:usb1="00000000" w:usb2="00000000" w:usb3="00000000" w:csb0="00000001" w:csb1="00000000"/>
    <w:embedRegular r:id="rId15" w:fontKey="{A676E534-B8AC-4D1F-A5DC-1979F089F1E7}"/>
  </w:font>
  <w:font w:name="Cambria">
    <w:panose1 w:val="02040503050406030204"/>
    <w:charset w:val="00"/>
    <w:family w:val="roman"/>
    <w:pitch w:val="variable"/>
    <w:sig w:usb0="E00002FF" w:usb1="400004FF" w:usb2="00000000" w:usb3="00000000" w:csb0="0000019F" w:csb1="00000000"/>
    <w:embedRegular r:id="rId16" w:fontKey="{79AF23D3-479D-4AA9-995F-61902FD0C5DC}"/>
    <w:embedBold r:id="rId17" w:fontKey="{76A21FCF-9571-4857-9BEF-7EAEFC709004}"/>
  </w:font>
  <w:font w:name="cmti7">
    <w:altName w:val="Vrinda"/>
    <w:panose1 w:val="020B0500000000000000"/>
    <w:charset w:val="00"/>
    <w:family w:val="swiss"/>
    <w:pitch w:val="variable"/>
    <w:sig w:usb0="00000003" w:usb1="00000000" w:usb2="00000000" w:usb3="00000000" w:csb0="00000001" w:csb1="00000000"/>
    <w:embedBold r:id="rId18" w:fontKey="{3CEF059C-0C82-4E7D-A2A2-6EBC05B03491}"/>
  </w:font>
  <w:font w:name="Tahoma">
    <w:panose1 w:val="020B0604030504040204"/>
    <w:charset w:val="00"/>
    <w:family w:val="swiss"/>
    <w:pitch w:val="variable"/>
    <w:sig w:usb0="E1002EFF" w:usb1="C000605B" w:usb2="00000029" w:usb3="00000000" w:csb0="000101FF" w:csb1="00000000"/>
    <w:embedRegular r:id="rId19" w:fontKey="{A233C978-5528-410C-AE5B-60BD102FAAC2}"/>
  </w:font>
  <w:font w:name="Consolas">
    <w:panose1 w:val="020B0609020204030204"/>
    <w:charset w:val="00"/>
    <w:family w:val="modern"/>
    <w:pitch w:val="fixed"/>
    <w:sig w:usb0="E10002FF" w:usb1="4000FCFF" w:usb2="00000009" w:usb3="00000000" w:csb0="0000019F" w:csb1="00000000"/>
    <w:embedRegular r:id="rId20" w:fontKey="{C6450D82-DA5F-4475-904B-E78EB1AD8595}"/>
  </w:font>
  <w:font w:name="Calibri">
    <w:panose1 w:val="020F0502020204030204"/>
    <w:charset w:val="00"/>
    <w:family w:val="swiss"/>
    <w:pitch w:val="variable"/>
    <w:sig w:usb0="E00002FF" w:usb1="4000ACFF" w:usb2="00000001" w:usb3="00000000" w:csb0="0000019F" w:csb1="00000000"/>
    <w:embedRegular r:id="rId21" w:fontKey="{45898D44-C17A-41AC-9623-2F9AA4963EEE}"/>
  </w:font>
  <w:font w:name="cmr17">
    <w:panose1 w:val="020B0500000000000000"/>
    <w:charset w:val="00"/>
    <w:family w:val="swiss"/>
    <w:pitch w:val="variable"/>
    <w:sig w:usb0="00000003" w:usb1="00000000" w:usb2="00000000" w:usb3="00000000" w:csb0="00000001" w:csb1="00000000"/>
    <w:embedRegular r:id="rId22" w:fontKey="{19917DF4-1FC6-4934-942D-1A76BA00A969}"/>
    <w:embedBold r:id="rId23" w:fontKey="{EB31F930-062A-4135-9A64-ED7B7B99A2FB}"/>
  </w:font>
  <w:font w:name="Cambria Math">
    <w:panose1 w:val="02040503050406030204"/>
    <w:charset w:val="00"/>
    <w:family w:val="roman"/>
    <w:pitch w:val="variable"/>
    <w:sig w:usb0="E00002FF" w:usb1="420024FF" w:usb2="00000000" w:usb3="00000000" w:csb0="0000019F" w:csb1="00000000"/>
    <w:embedItalic r:id="rId24" w:fontKey="{D7D1F080-46D8-4DD0-8D69-8D2ED897C17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82550" w:rsidRDefault="0008255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Default="0008255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54C5">
      <w:rPr>
        <w:rStyle w:val="PageNumber"/>
        <w:noProof/>
      </w:rPr>
      <w:t>4</w:t>
    </w:r>
    <w:r>
      <w:rPr>
        <w:rStyle w:val="PageNumber"/>
      </w:rPr>
      <w:fldChar w:fldCharType="end"/>
    </w:r>
  </w:p>
  <w:p w:rsidR="00082550" w:rsidRDefault="000825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C0E" w:rsidRDefault="00370C0E">
      <w:pPr>
        <w:spacing w:line="240" w:lineRule="auto"/>
      </w:pPr>
      <w:r>
        <w:separator/>
      </w:r>
    </w:p>
  </w:footnote>
  <w:footnote w:type="continuationSeparator" w:id="0">
    <w:p w:rsidR="00370C0E" w:rsidRDefault="00370C0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550" w:rsidRPr="00B43F98" w:rsidRDefault="00082550" w:rsidP="00F552D7">
    <w:pPr>
      <w:pStyle w:val="Header"/>
      <w:ind w:firstLine="0"/>
    </w:pPr>
    <w:r>
      <w:fldChar w:fldCharType="begin"/>
    </w:r>
    <w:r>
      <w:instrText xml:space="preserve"> DATE \@ "dd/MM/yy" </w:instrText>
    </w:r>
    <w:r>
      <w:fldChar w:fldCharType="separate"/>
    </w:r>
    <w:r>
      <w:rPr>
        <w:noProof/>
      </w:rPr>
      <w:t>12/06/13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153E1"/>
    <w:rsid w:val="00024B7B"/>
    <w:rsid w:val="00030D4C"/>
    <w:rsid w:val="0005350A"/>
    <w:rsid w:val="000564F3"/>
    <w:rsid w:val="000651B8"/>
    <w:rsid w:val="000735BA"/>
    <w:rsid w:val="000769B9"/>
    <w:rsid w:val="00076EFE"/>
    <w:rsid w:val="0007766A"/>
    <w:rsid w:val="00082550"/>
    <w:rsid w:val="000833F9"/>
    <w:rsid w:val="00095987"/>
    <w:rsid w:val="00096B5A"/>
    <w:rsid w:val="00097DF2"/>
    <w:rsid w:val="000A5003"/>
    <w:rsid w:val="000A51D7"/>
    <w:rsid w:val="000D0532"/>
    <w:rsid w:val="000D2F57"/>
    <w:rsid w:val="000D3CF8"/>
    <w:rsid w:val="000E18A0"/>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1F255A"/>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B576C"/>
    <w:rsid w:val="002C3A88"/>
    <w:rsid w:val="002D7B85"/>
    <w:rsid w:val="002E1D1A"/>
    <w:rsid w:val="002E568C"/>
    <w:rsid w:val="002F2FAE"/>
    <w:rsid w:val="00306DED"/>
    <w:rsid w:val="0031783A"/>
    <w:rsid w:val="00317C1F"/>
    <w:rsid w:val="00324A58"/>
    <w:rsid w:val="003277CF"/>
    <w:rsid w:val="00332A32"/>
    <w:rsid w:val="00332D67"/>
    <w:rsid w:val="00343F1B"/>
    <w:rsid w:val="00355FB0"/>
    <w:rsid w:val="00370C0E"/>
    <w:rsid w:val="00374508"/>
    <w:rsid w:val="003852B7"/>
    <w:rsid w:val="00391ECF"/>
    <w:rsid w:val="003B60C7"/>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22E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A370E"/>
    <w:rsid w:val="008B49E2"/>
    <w:rsid w:val="008B5F8B"/>
    <w:rsid w:val="008C0579"/>
    <w:rsid w:val="008C4383"/>
    <w:rsid w:val="008C4AC6"/>
    <w:rsid w:val="008C5BF9"/>
    <w:rsid w:val="008D0702"/>
    <w:rsid w:val="008D4A68"/>
    <w:rsid w:val="008D6D56"/>
    <w:rsid w:val="008E4434"/>
    <w:rsid w:val="009073FB"/>
    <w:rsid w:val="00930641"/>
    <w:rsid w:val="009401F7"/>
    <w:rsid w:val="00940B3F"/>
    <w:rsid w:val="00966283"/>
    <w:rsid w:val="0096728E"/>
    <w:rsid w:val="009874E3"/>
    <w:rsid w:val="009B7E28"/>
    <w:rsid w:val="009C2B42"/>
    <w:rsid w:val="009C2B56"/>
    <w:rsid w:val="009C3743"/>
    <w:rsid w:val="009C6C69"/>
    <w:rsid w:val="009D276E"/>
    <w:rsid w:val="009D7980"/>
    <w:rsid w:val="009F66C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270E0"/>
    <w:rsid w:val="00C41B8A"/>
    <w:rsid w:val="00C64E3F"/>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00"/>
    <w:rsid w:val="00CF5FF4"/>
    <w:rsid w:val="00D00BF8"/>
    <w:rsid w:val="00D0148C"/>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1936"/>
    <w:rsid w:val="00E133E7"/>
    <w:rsid w:val="00E146D3"/>
    <w:rsid w:val="00E251B2"/>
    <w:rsid w:val="00E254C5"/>
    <w:rsid w:val="00E30ED6"/>
    <w:rsid w:val="00E455D1"/>
    <w:rsid w:val="00E72C13"/>
    <w:rsid w:val="00E91107"/>
    <w:rsid w:val="00E96A4E"/>
    <w:rsid w:val="00EA4ACF"/>
    <w:rsid w:val="00EB1272"/>
    <w:rsid w:val="00ED18BD"/>
    <w:rsid w:val="00ED2C37"/>
    <w:rsid w:val="00EE6A1D"/>
    <w:rsid w:val="00EF58EF"/>
    <w:rsid w:val="00EF6D13"/>
    <w:rsid w:val="00F16DA0"/>
    <w:rsid w:val="00F42B8F"/>
    <w:rsid w:val="00F53F4C"/>
    <w:rsid w:val="00F552D7"/>
    <w:rsid w:val="00F650EA"/>
    <w:rsid w:val="00F70828"/>
    <w:rsid w:val="00F73F5C"/>
    <w:rsid w:val="00F73FEE"/>
    <w:rsid w:val="00F95F72"/>
    <w:rsid w:val="00FA730F"/>
    <w:rsid w:val="00FB219C"/>
    <w:rsid w:val="00FD5294"/>
    <w:rsid w:val="00FE1408"/>
    <w:rsid w:val="00FE41B4"/>
    <w:rsid w:val="00FF3660"/>
    <w:rsid w:val="00FF49B1"/>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sChild>
                                                                                                                                <w:div w:id="22170930">
                                                                                                                                  <w:marLeft w:val="0"/>
                                                                                                                                  <w:marRight w:val="0"/>
                                                                                                                                  <w:marTop w:val="0"/>
                                                                                                                                  <w:marBottom w:val="0"/>
                                                                                                                                  <w:divBdr>
                                                                                                                                    <w:top w:val="none" w:sz="0" w:space="0" w:color="auto"/>
                                                                                                                                    <w:left w:val="none" w:sz="0" w:space="0" w:color="auto"/>
                                                                                                                                    <w:bottom w:val="none" w:sz="0" w:space="0" w:color="auto"/>
                                                                                                                                    <w:right w:val="none" w:sz="0" w:space="0" w:color="auto"/>
                                                                                                                                  </w:divBdr>
                                                                                                                                  <w:divsChild>
                                                                                                                                    <w:div w:id="2077626196">
                                                                                                                                      <w:marLeft w:val="0"/>
                                                                                                                                      <w:marRight w:val="0"/>
                                                                                                                                      <w:marTop w:val="0"/>
                                                                                                                                      <w:marBottom w:val="0"/>
                                                                                                                                      <w:divBdr>
                                                                                                                                        <w:top w:val="none" w:sz="0" w:space="0" w:color="auto"/>
                                                                                                                                        <w:left w:val="none" w:sz="0" w:space="0" w:color="auto"/>
                                                                                                                                        <w:bottom w:val="none" w:sz="0" w:space="0" w:color="auto"/>
                                                                                                                                        <w:right w:val="none" w:sz="0" w:space="0" w:color="auto"/>
                                                                                                                                      </w:divBdr>
                                                                                                                                      <w:divsChild>
                                                                                                                                        <w:div w:id="951130952">
                                                                                                                                          <w:marLeft w:val="0"/>
                                                                                                                                          <w:marRight w:val="0"/>
                                                                                                                                          <w:marTop w:val="0"/>
                                                                                                                                          <w:marBottom w:val="0"/>
                                                                                                                                          <w:divBdr>
                                                                                                                                            <w:top w:val="none" w:sz="0" w:space="0" w:color="auto"/>
                                                                                                                                            <w:left w:val="none" w:sz="0" w:space="0" w:color="auto"/>
                                                                                                                                            <w:bottom w:val="none" w:sz="0" w:space="0" w:color="auto"/>
                                                                                                                                            <w:right w:val="none" w:sz="0" w:space="0" w:color="auto"/>
                                                                                                                                          </w:divBdr>
                                                                                                                                          <w:divsChild>
                                                                                                                                            <w:div w:id="1232886664">
                                                                                                                                              <w:marLeft w:val="0"/>
                                                                                                                                              <w:marRight w:val="0"/>
                                                                                                                                              <w:marTop w:val="0"/>
                                                                                                                                              <w:marBottom w:val="0"/>
                                                                                                                                              <w:divBdr>
                                                                                                                                                <w:top w:val="none" w:sz="0" w:space="0" w:color="auto"/>
                                                                                                                                                <w:left w:val="none" w:sz="0" w:space="0" w:color="auto"/>
                                                                                                                                                <w:bottom w:val="none" w:sz="0" w:space="0" w:color="auto"/>
                                                                                                                                                <w:right w:val="none" w:sz="0" w:space="0" w:color="auto"/>
                                                                                                                                              </w:divBdr>
                                                                                                                                              <w:divsChild>
                                                                                                                                                <w:div w:id="2058695366">
                                                                                                                                                  <w:marLeft w:val="0"/>
                                                                                                                                                  <w:marRight w:val="0"/>
                                                                                                                                                  <w:marTop w:val="0"/>
                                                                                                                                                  <w:marBottom w:val="0"/>
                                                                                                                                                  <w:divBdr>
                                                                                                                                                    <w:top w:val="none" w:sz="0" w:space="0" w:color="auto"/>
                                                                                                                                                    <w:left w:val="none" w:sz="0" w:space="0" w:color="auto"/>
                                                                                                                                                    <w:bottom w:val="none" w:sz="0" w:space="0" w:color="auto"/>
                                                                                                                                                    <w:right w:val="none" w:sz="0" w:space="0" w:color="auto"/>
                                                                                                                                                  </w:divBdr>
                                                                                                                                                  <w:divsChild>
                                                                                                                                                    <w:div w:id="467939103">
                                                                                                                                                      <w:marLeft w:val="0"/>
                                                                                                                                                      <w:marRight w:val="0"/>
                                                                                                                                                      <w:marTop w:val="0"/>
                                                                                                                                                      <w:marBottom w:val="0"/>
                                                                                                                                                      <w:divBdr>
                                                                                                                                                        <w:top w:val="none" w:sz="0" w:space="0" w:color="auto"/>
                                                                                                                                                        <w:left w:val="none" w:sz="0" w:space="0" w:color="auto"/>
                                                                                                                                                        <w:bottom w:val="none" w:sz="0" w:space="0" w:color="auto"/>
                                                                                                                                                        <w:right w:val="none" w:sz="0" w:space="0" w:color="auto"/>
                                                                                                                                                      </w:divBdr>
                                                                                                                                                      <w:divsChild>
                                                                                                                                                        <w:div w:id="1472596395">
                                                                                                                                                          <w:marLeft w:val="0"/>
                                                                                                                                                          <w:marRight w:val="0"/>
                                                                                                                                                          <w:marTop w:val="0"/>
                                                                                                                                                          <w:marBottom w:val="0"/>
                                                                                                                                                          <w:divBdr>
                                                                                                                                                            <w:top w:val="none" w:sz="0" w:space="0" w:color="auto"/>
                                                                                                                                                            <w:left w:val="none" w:sz="0" w:space="0" w:color="auto"/>
                                                                                                                                                            <w:bottom w:val="none" w:sz="0" w:space="0" w:color="auto"/>
                                                                                                                                                            <w:right w:val="none" w:sz="0" w:space="0" w:color="auto"/>
                                                                                                                                                          </w:divBdr>
                                                                                                                                                          <w:divsChild>
                                                                                                                                                            <w:div w:id="235359825">
                                                                                                                                                              <w:marLeft w:val="0"/>
                                                                                                                                                              <w:marRight w:val="0"/>
                                                                                                                                                              <w:marTop w:val="0"/>
                                                                                                                                                              <w:marBottom w:val="0"/>
                                                                                                                                                              <w:divBdr>
                                                                                                                                                                <w:top w:val="none" w:sz="0" w:space="0" w:color="auto"/>
                                                                                                                                                                <w:left w:val="none" w:sz="0" w:space="0" w:color="auto"/>
                                                                                                                                                                <w:bottom w:val="none" w:sz="0" w:space="0" w:color="auto"/>
                                                                                                                                                                <w:right w:val="none" w:sz="0" w:space="0" w:color="auto"/>
                                                                                                                                                              </w:divBdr>
                                                                                                                                                              <w:divsChild>
                                                                                                                                                                <w:div w:id="453788060">
                                                                                                                                                                  <w:marLeft w:val="0"/>
                                                                                                                                                                  <w:marRight w:val="0"/>
                                                                                                                                                                  <w:marTop w:val="0"/>
                                                                                                                                                                  <w:marBottom w:val="0"/>
                                                                                                                                                                  <w:divBdr>
                                                                                                                                                                    <w:top w:val="none" w:sz="0" w:space="0" w:color="auto"/>
                                                                                                                                                                    <w:left w:val="none" w:sz="0" w:space="0" w:color="auto"/>
                                                                                                                                                                    <w:bottom w:val="none" w:sz="0" w:space="0" w:color="auto"/>
                                                                                                                                                                    <w:right w:val="none" w:sz="0" w:space="0" w:color="auto"/>
                                                                                                                                                                  </w:divBdr>
                                                                                                                                                                  <w:divsChild>
                                                                                                                                                                    <w:div w:id="569316457">
                                                                                                                                                                      <w:marLeft w:val="0"/>
                                                                                                                                                                      <w:marRight w:val="0"/>
                                                                                                                                                                      <w:marTop w:val="0"/>
                                                                                                                                                                      <w:marBottom w:val="0"/>
                                                                                                                                                                      <w:divBdr>
                                                                                                                                                                        <w:top w:val="none" w:sz="0" w:space="0" w:color="auto"/>
                                                                                                                                                                        <w:left w:val="none" w:sz="0" w:space="0" w:color="auto"/>
                                                                                                                                                                        <w:bottom w:val="none" w:sz="0" w:space="0" w:color="auto"/>
                                                                                                                                                                        <w:right w:val="none" w:sz="0" w:space="0" w:color="auto"/>
                                                                                                                                                                      </w:divBdr>
                                                                                                                                                                      <w:divsChild>
                                                                                                                                                                        <w:div w:id="460660226">
                                                                                                                                                                          <w:marLeft w:val="0"/>
                                                                                                                                                                          <w:marRight w:val="0"/>
                                                                                                                                                                          <w:marTop w:val="0"/>
                                                                                                                                                                          <w:marBottom w:val="0"/>
                                                                                                                                                                          <w:divBdr>
                                                                                                                                                                            <w:top w:val="none" w:sz="0" w:space="0" w:color="auto"/>
                                                                                                                                                                            <w:left w:val="none" w:sz="0" w:space="0" w:color="auto"/>
                                                                                                                                                                            <w:bottom w:val="none" w:sz="0" w:space="0" w:color="auto"/>
                                                                                                                                                                            <w:right w:val="none" w:sz="0" w:space="0" w:color="auto"/>
                                                                                                                                                                          </w:divBdr>
                                                                                                                                                                          <w:divsChild>
                                                                                                                                                                            <w:div w:id="1258707076">
                                                                                                                                                                              <w:marLeft w:val="0"/>
                                                                                                                                                                              <w:marRight w:val="0"/>
                                                                                                                                                                              <w:marTop w:val="0"/>
                                                                                                                                                                              <w:marBottom w:val="0"/>
                                                                                                                                                                              <w:divBdr>
                                                                                                                                                                                <w:top w:val="none" w:sz="0" w:space="0" w:color="auto"/>
                                                                                                                                                                                <w:left w:val="none" w:sz="0" w:space="0" w:color="auto"/>
                                                                                                                                                                                <w:bottom w:val="none" w:sz="0" w:space="0" w:color="auto"/>
                                                                                                                                                                                <w:right w:val="none" w:sz="0" w:space="0" w:color="auto"/>
                                                                                                                                                                              </w:divBdr>
                                                                                                                                                                              <w:divsChild>
                                                                                                                                                                                <w:div w:id="2135753937">
                                                                                                                                                                                  <w:marLeft w:val="0"/>
                                                                                                                                                                                  <w:marRight w:val="0"/>
                                                                                                                                                                                  <w:marTop w:val="0"/>
                                                                                                                                                                                  <w:marBottom w:val="0"/>
                                                                                                                                                                                  <w:divBdr>
                                                                                                                                                                                    <w:top w:val="none" w:sz="0" w:space="0" w:color="auto"/>
                                                                                                                                                                                    <w:left w:val="none" w:sz="0" w:space="0" w:color="auto"/>
                                                                                                                                                                                    <w:bottom w:val="none" w:sz="0" w:space="0" w:color="auto"/>
                                                                                                                                                                                    <w:right w:val="none" w:sz="0" w:space="0" w:color="auto"/>
                                                                                                                                                                                  </w:divBdr>
                                                                                                                                                                                  <w:divsChild>
                                                                                                                                                                                    <w:div w:id="1960381324">
                                                                                                                                                                                      <w:marLeft w:val="0"/>
                                                                                                                                                                                      <w:marRight w:val="0"/>
                                                                                                                                                                                      <w:marTop w:val="0"/>
                                                                                                                                                                                      <w:marBottom w:val="0"/>
                                                                                                                                                                                      <w:divBdr>
                                                                                                                                                                                        <w:top w:val="none" w:sz="0" w:space="0" w:color="auto"/>
                                                                                                                                                                                        <w:left w:val="none" w:sz="0" w:space="0" w:color="auto"/>
                                                                                                                                                                                        <w:bottom w:val="none" w:sz="0" w:space="0" w:color="auto"/>
                                                                                                                                                                                        <w:right w:val="none" w:sz="0" w:space="0" w:color="auto"/>
                                                                                                                                                                                      </w:divBdr>
                                                                                                                                                                                      <w:divsChild>
                                                                                                                                                                                        <w:div w:id="126171042">
                                                                                                                                                                                          <w:marLeft w:val="0"/>
                                                                                                                                                                                          <w:marRight w:val="0"/>
                                                                                                                                                                                          <w:marTop w:val="0"/>
                                                                                                                                                                                          <w:marBottom w:val="0"/>
                                                                                                                                                                                          <w:divBdr>
                                                                                                                                                                                            <w:top w:val="none" w:sz="0" w:space="0" w:color="auto"/>
                                                                                                                                                                                            <w:left w:val="none" w:sz="0" w:space="0" w:color="auto"/>
                                                                                                                                                                                            <w:bottom w:val="none" w:sz="0" w:space="0" w:color="auto"/>
                                                                                                                                                                                            <w:right w:val="none" w:sz="0" w:space="0" w:color="auto"/>
                                                                                                                                                                                          </w:divBdr>
                                                                                                                                                                                          <w:divsChild>
                                                                                                                                                                                            <w:div w:id="1014376543">
                                                                                                                                                                                              <w:marLeft w:val="0"/>
                                                                                                                                                                                              <w:marRight w:val="0"/>
                                                                                                                                                                                              <w:marTop w:val="0"/>
                                                                                                                                                                                              <w:marBottom w:val="0"/>
                                                                                                                                                                                              <w:divBdr>
                                                                                                                                                                                                <w:top w:val="none" w:sz="0" w:space="0" w:color="auto"/>
                                                                                                                                                                                                <w:left w:val="none" w:sz="0" w:space="0" w:color="auto"/>
                                                                                                                                                                                                <w:bottom w:val="none" w:sz="0" w:space="0" w:color="auto"/>
                                                                                                                                                                                                <w:right w:val="none" w:sz="0" w:space="0" w:color="auto"/>
                                                                                                                                                                                              </w:divBdr>
                                                                                                                                                                                              <w:divsChild>
                                                                                                                                                                                                <w:div w:id="1647780183">
                                                                                                                                                                                                  <w:marLeft w:val="0"/>
                                                                                                                                                                                                  <w:marRight w:val="0"/>
                                                                                                                                                                                                  <w:marTop w:val="0"/>
                                                                                                                                                                                                  <w:marBottom w:val="0"/>
                                                                                                                                                                                                  <w:divBdr>
                                                                                                                                                                                                    <w:top w:val="none" w:sz="0" w:space="0" w:color="auto"/>
                                                                                                                                                                                                    <w:left w:val="none" w:sz="0" w:space="0" w:color="auto"/>
                                                                                                                                                                                                    <w:bottom w:val="none" w:sz="0" w:space="0" w:color="auto"/>
                                                                                                                                                                                                    <w:right w:val="none" w:sz="0" w:space="0" w:color="auto"/>
                                                                                                                                                                                                  </w:divBdr>
                                                                                                                                                                                                  <w:divsChild>
                                                                                                                                                                                                    <w:div w:id="1900361918">
                                                                                                                                                                                                      <w:marLeft w:val="0"/>
                                                                                                                                                                                                      <w:marRight w:val="0"/>
                                                                                                                                                                                                      <w:marTop w:val="0"/>
                                                                                                                                                                                                      <w:marBottom w:val="0"/>
                                                                                                                                                                                                      <w:divBdr>
                                                                                                                                                                                                        <w:top w:val="none" w:sz="0" w:space="0" w:color="auto"/>
                                                                                                                                                                                                        <w:left w:val="none" w:sz="0" w:space="0" w:color="auto"/>
                                                                                                                                                                                                        <w:bottom w:val="none" w:sz="0" w:space="0" w:color="auto"/>
                                                                                                                                                                                                        <w:right w:val="none" w:sz="0" w:space="0" w:color="auto"/>
                                                                                                                                                                                                      </w:divBdr>
                                                                                                                                                                                                      <w:divsChild>
                                                                                                                                                                                                        <w:div w:id="1932547151">
                                                                                                                                                                                                          <w:marLeft w:val="0"/>
                                                                                                                                                                                                          <w:marRight w:val="0"/>
                                                                                                                                                                                                          <w:marTop w:val="0"/>
                                                                                                                                                                                                          <w:marBottom w:val="0"/>
                                                                                                                                                                                                          <w:divBdr>
                                                                                                                                                                                                            <w:top w:val="none" w:sz="0" w:space="0" w:color="auto"/>
                                                                                                                                                                                                            <w:left w:val="none" w:sz="0" w:space="0" w:color="auto"/>
                                                                                                                                                                                                            <w:bottom w:val="none" w:sz="0" w:space="0" w:color="auto"/>
                                                                                                                                                                                                            <w:right w:val="none" w:sz="0" w:space="0" w:color="auto"/>
                                                                                                                                                                                                          </w:divBdr>
                                                                                                                                                                                                          <w:divsChild>
                                                                                                                                                                                                            <w:div w:id="802622739">
                                                                                                                                                                                                              <w:marLeft w:val="0"/>
                                                                                                                                                                                                              <w:marRight w:val="0"/>
                                                                                                                                                                                                              <w:marTop w:val="0"/>
                                                                                                                                                                                                              <w:marBottom w:val="0"/>
                                                                                                                                                                                                              <w:divBdr>
                                                                                                                                                                                                                <w:top w:val="none" w:sz="0" w:space="0" w:color="auto"/>
                                                                                                                                                                                                                <w:left w:val="none" w:sz="0" w:space="0" w:color="auto"/>
                                                                                                                                                                                                                <w:bottom w:val="none" w:sz="0" w:space="0" w:color="auto"/>
                                                                                                                                                                                                                <w:right w:val="none" w:sz="0" w:space="0" w:color="auto"/>
                                                                                                                                                                                                              </w:divBdr>
                                                                                                                                                                                                              <w:divsChild>
                                                                                                                                                                                                                <w:div w:id="1551334527">
                                                                                                                                                                                                                  <w:marLeft w:val="0"/>
                                                                                                                                                                                                                  <w:marRight w:val="0"/>
                                                                                                                                                                                                                  <w:marTop w:val="0"/>
                                                                                                                                                                                                                  <w:marBottom w:val="0"/>
                                                                                                                                                                                                                  <w:divBdr>
                                                                                                                                                                                                                    <w:top w:val="none" w:sz="0" w:space="0" w:color="auto"/>
                                                                                                                                                                                                                    <w:left w:val="none" w:sz="0" w:space="0" w:color="auto"/>
                                                                                                                                                                                                                    <w:bottom w:val="none" w:sz="0" w:space="0" w:color="auto"/>
                                                                                                                                                                                                                    <w:right w:val="none" w:sz="0" w:space="0" w:color="auto"/>
                                                                                                                                                                                                                  </w:divBdr>
                                                                                                                                                                                                                  <w:divsChild>
                                                                                                                                                                                                                    <w:div w:id="1684823729">
                                                                                                                                                                                                                      <w:marLeft w:val="0"/>
                                                                                                                                                                                                                      <w:marRight w:val="0"/>
                                                                                                                                                                                                                      <w:marTop w:val="0"/>
                                                                                                                                                                                                                      <w:marBottom w:val="0"/>
                                                                                                                                                                                                                      <w:divBdr>
                                                                                                                                                                                                                        <w:top w:val="none" w:sz="0" w:space="0" w:color="auto"/>
                                                                                                                                                                                                                        <w:left w:val="none" w:sz="0" w:space="0" w:color="auto"/>
                                                                                                                                                                                                                        <w:bottom w:val="none" w:sz="0" w:space="0" w:color="auto"/>
                                                                                                                                                                                                                        <w:right w:val="none" w:sz="0" w:space="0" w:color="auto"/>
                                                                                                                                                                                                                      </w:divBdr>
                                                                                                                                                                                                                      <w:divsChild>
                                                                                                                                                                                                                        <w:div w:id="1491209390">
                                                                                                                                                                                                                          <w:marLeft w:val="0"/>
                                                                                                                                                                                                                          <w:marRight w:val="0"/>
                                                                                                                                                                                                                          <w:marTop w:val="0"/>
                                                                                                                                                                                                                          <w:marBottom w:val="0"/>
                                                                                                                                                                                                                          <w:divBdr>
                                                                                                                                                                                                                            <w:top w:val="none" w:sz="0" w:space="0" w:color="auto"/>
                                                                                                                                                                                                                            <w:left w:val="none" w:sz="0" w:space="0" w:color="auto"/>
                                                                                                                                                                                                                            <w:bottom w:val="none" w:sz="0" w:space="0" w:color="auto"/>
                                                                                                                                                                                                                            <w:right w:val="none" w:sz="0" w:space="0" w:color="auto"/>
                                                                                                                                                                                                                          </w:divBdr>
                                                                                                                                                                                                                          <w:divsChild>
                                                                                                                                                                                                                            <w:div w:id="13462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683AD0-AB78-4C57-8CBB-1B9872404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TotalTime>
  <Pages>15</Pages>
  <Words>16594</Words>
  <Characters>82973</Characters>
  <Application>Microsoft Office Word</Application>
  <DocSecurity>0</DocSecurity>
  <Lines>691</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yoavram</dc:creator>
  <cp:lastModifiedBy>yoavram</cp:lastModifiedBy>
  <cp:revision>2</cp:revision>
  <cp:lastPrinted>2013-04-23T11:40:00Z</cp:lastPrinted>
  <dcterms:created xsi:type="dcterms:W3CDTF">2013-06-13T10:55:00Z</dcterms:created>
  <dcterms:modified xsi:type="dcterms:W3CDTF">2013-06-13T10:55:00Z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